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664F" w14:textId="77777777" w:rsidR="00141F59" w:rsidRDefault="0006039A">
      <w:pPr>
        <w:spacing w:after="160"/>
        <w:jc w:val="center"/>
      </w:pPr>
      <w:r>
        <w:rPr>
          <w:noProof/>
        </w:rPr>
        <w:drawing>
          <wp:inline distT="0" distB="0" distL="0" distR="0" wp14:anchorId="74D874B2" wp14:editId="3B851D2D">
            <wp:extent cx="2602992" cy="22917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_Logo_blue.jpg"/>
                    <pic:cNvPicPr/>
                  </pic:nvPicPr>
                  <pic:blipFill>
                    <a:blip r:embed="rId8"/>
                    <a:stretch>
                      <a:fillRect/>
                    </a:stretch>
                  </pic:blipFill>
                  <pic:spPr>
                    <a:xfrm>
                      <a:off x="0" y="0"/>
                      <a:ext cx="2623096" cy="2309400"/>
                    </a:xfrm>
                    <a:prstGeom prst="rect">
                      <a:avLst/>
                    </a:prstGeom>
                  </pic:spPr>
                </pic:pic>
              </a:graphicData>
            </a:graphic>
          </wp:inline>
        </w:drawing>
      </w:r>
    </w:p>
    <w:p w14:paraId="60F2CA00" w14:textId="77777777" w:rsidR="00141F59" w:rsidRDefault="0006039A">
      <w:pPr>
        <w:jc w:val="center"/>
      </w:pPr>
      <w:r>
        <w:rPr>
          <w:rFonts w:ascii="Aptos Display" w:hAnsi="Aptos Display"/>
          <w:b/>
          <w:color w:val="17365D"/>
          <w:sz w:val="60"/>
        </w:rPr>
        <w:br/>
      </w:r>
      <w:r>
        <w:rPr>
          <w:rFonts w:ascii="Aptos Display" w:hAnsi="Aptos Display"/>
          <w:b/>
          <w:color w:val="17365D"/>
          <w:sz w:val="60"/>
        </w:rPr>
        <w:br/>
        <w:t>BUDGET MONITORING</w:t>
      </w:r>
      <w:r>
        <w:rPr>
          <w:rFonts w:ascii="Aptos Display" w:hAnsi="Aptos Display"/>
          <w:b/>
          <w:color w:val="17365D"/>
          <w:sz w:val="60"/>
        </w:rPr>
        <w:br/>
        <w:t>&amp; MANAGEMENT</w:t>
      </w:r>
    </w:p>
    <w:p w14:paraId="5D3C5204" w14:textId="77777777" w:rsidR="00141F59" w:rsidRDefault="0006039A">
      <w:pPr>
        <w:jc w:val="center"/>
      </w:pPr>
      <w:r>
        <w:rPr>
          <w:color w:val="2F5597"/>
          <w:sz w:val="30"/>
        </w:rPr>
        <w:t>Best Practices for Mississippi Public Universities Using Ellucian Banner 9</w:t>
      </w:r>
    </w:p>
    <w:p w14:paraId="6E23527F" w14:textId="77777777" w:rsidR="00141F59" w:rsidRDefault="0006039A">
      <w:r>
        <w:br/>
      </w:r>
    </w:p>
    <w:tbl>
      <w:tblPr>
        <w:tblW w:w="0" w:type="auto"/>
        <w:jc w:val="center"/>
        <w:tblLook w:val="04A0" w:firstRow="1" w:lastRow="0" w:firstColumn="1" w:lastColumn="0" w:noHBand="0" w:noVBand="1"/>
      </w:tblPr>
      <w:tblGrid>
        <w:gridCol w:w="9936"/>
      </w:tblGrid>
      <w:tr w:rsidR="00141F59" w14:paraId="6D8C1AE4" w14:textId="77777777">
        <w:trPr>
          <w:jc w:val="center"/>
        </w:trPr>
        <w:tc>
          <w:tcPr>
            <w:tcW w:w="9936" w:type="dxa"/>
            <w:shd w:val="clear" w:color="auto" w:fill="EAF2F8"/>
          </w:tcPr>
          <w:p w14:paraId="5C20B351" w14:textId="77777777" w:rsidR="00141F59" w:rsidRDefault="0006039A">
            <w:r>
              <w:rPr>
                <w:b/>
                <w:color w:val="17365D"/>
              </w:rPr>
              <w:t>PURPOSE</w:t>
            </w:r>
            <w:r>
              <w:rPr>
                <w:b/>
                <w:color w:val="17365D"/>
              </w:rPr>
              <w:br/>
            </w:r>
            <w:r>
              <w:rPr>
                <w:sz w:val="19"/>
              </w:rPr>
              <w:t xml:space="preserve">A practical guide for budget managers, department chairs, deans, directors, administrative staff, and other employees </w:t>
            </w:r>
            <w:r>
              <w:rPr>
                <w:sz w:val="19"/>
              </w:rPr>
              <w:t>responsible for monitoring university funds.</w:t>
            </w:r>
          </w:p>
        </w:tc>
      </w:tr>
    </w:tbl>
    <w:p w14:paraId="32F08F52" w14:textId="77777777" w:rsidR="00141F59" w:rsidRDefault="00141F59">
      <w:pPr>
        <w:spacing w:after="20"/>
      </w:pPr>
    </w:p>
    <w:p w14:paraId="51B7053E" w14:textId="77777777" w:rsidR="00141F59" w:rsidRDefault="0006039A">
      <w:pPr>
        <w:jc w:val="center"/>
      </w:pPr>
      <w:r>
        <w:rPr>
          <w:i/>
          <w:color w:val="595959"/>
        </w:rPr>
        <w:br/>
        <w:t>Prepared as a customizable university training manual</w:t>
      </w:r>
    </w:p>
    <w:p w14:paraId="75510E29" w14:textId="77777777" w:rsidR="00141F59" w:rsidRDefault="0006039A">
      <w:pPr>
        <w:jc w:val="center"/>
      </w:pPr>
      <w:r>
        <w:rPr>
          <w:color w:val="595959"/>
        </w:rPr>
        <w:t>August 2026</w:t>
      </w:r>
    </w:p>
    <w:p w14:paraId="419937A6" w14:textId="77777777" w:rsidR="00141F59" w:rsidRDefault="0006039A">
      <w:pPr>
        <w:spacing w:before="240" w:after="80"/>
        <w:jc w:val="center"/>
      </w:pPr>
      <w:r>
        <w:rPr>
          <w:b/>
          <w:color w:val="17365D"/>
          <w:sz w:val="22"/>
        </w:rPr>
        <w:t>Questions?</w:t>
      </w:r>
    </w:p>
    <w:p w14:paraId="2DF8C5C7" w14:textId="77777777" w:rsidR="00141F59" w:rsidRDefault="0006039A">
      <w:pPr>
        <w:spacing w:after="40"/>
        <w:jc w:val="center"/>
      </w:pPr>
      <w:r>
        <w:rPr>
          <w:sz w:val="19"/>
        </w:rPr>
        <w:t>After reading this manual, please contact:</w:t>
      </w:r>
    </w:p>
    <w:p w14:paraId="3BC84167" w14:textId="77777777" w:rsidR="00141F59" w:rsidRDefault="0006039A">
      <w:pPr>
        <w:spacing w:after="20"/>
        <w:jc w:val="center"/>
      </w:pPr>
      <w:r>
        <w:rPr>
          <w:b/>
          <w:color w:val="17365D"/>
          <w:sz w:val="19"/>
        </w:rPr>
        <w:t>Susan Sobley, Director of University Accounting  |  (662) 329-7214</w:t>
      </w:r>
    </w:p>
    <w:p w14:paraId="0C81EBA8" w14:textId="77777777" w:rsidR="00141F59" w:rsidRDefault="0006039A">
      <w:pPr>
        <w:jc w:val="center"/>
      </w:pPr>
      <w:r>
        <w:rPr>
          <w:b/>
          <w:color w:val="17365D"/>
          <w:sz w:val="19"/>
        </w:rPr>
        <w:t>Rachel Sudduth, Assistant Director of University Accounting  |  (662) 329-7345</w:t>
      </w:r>
    </w:p>
    <w:p w14:paraId="6F3A3A56" w14:textId="77777777" w:rsidR="00141F59" w:rsidRDefault="0006039A">
      <w:r>
        <w:br w:type="page"/>
      </w:r>
    </w:p>
    <w:p w14:paraId="27DCD8D3" w14:textId="77777777" w:rsidR="00141F59" w:rsidRDefault="0006039A">
      <w:pPr>
        <w:pStyle w:val="Heading1"/>
      </w:pPr>
      <w:r>
        <w:lastRenderedPageBreak/>
        <w:t>How to Use This Manual</w:t>
      </w:r>
    </w:p>
    <w:p w14:paraId="5E76D990" w14:textId="77777777" w:rsidR="00141F59" w:rsidRDefault="0006039A">
      <w:r>
        <w:t>This manual combines sound budget-management practices with common Banner 9 Finance inquiry tools. It is designed to be customized to the institution's chart of accounts, approval structure, budget rules, year-end calendar, and locally configured Banner security.</w:t>
      </w:r>
    </w:p>
    <w:tbl>
      <w:tblPr>
        <w:tblW w:w="0" w:type="auto"/>
        <w:jc w:val="center"/>
        <w:tblLook w:val="04A0" w:firstRow="1" w:lastRow="0" w:firstColumn="1" w:lastColumn="0" w:noHBand="0" w:noVBand="1"/>
      </w:tblPr>
      <w:tblGrid>
        <w:gridCol w:w="9936"/>
      </w:tblGrid>
      <w:tr w:rsidR="00141F59" w14:paraId="649BD342" w14:textId="77777777">
        <w:trPr>
          <w:jc w:val="center"/>
        </w:trPr>
        <w:tc>
          <w:tcPr>
            <w:tcW w:w="9936" w:type="dxa"/>
            <w:shd w:val="clear" w:color="auto" w:fill="D9EAF7"/>
          </w:tcPr>
          <w:p w14:paraId="10854B06" w14:textId="77777777" w:rsidR="00141F59" w:rsidRDefault="0006039A">
            <w:r>
              <w:rPr>
                <w:b/>
                <w:color w:val="17365D"/>
              </w:rPr>
              <w:t>IMPORTANT</w:t>
            </w:r>
            <w:r>
              <w:rPr>
                <w:b/>
                <w:color w:val="17365D"/>
              </w:rPr>
              <w:br/>
            </w:r>
            <w:r>
              <w:rPr>
                <w:sz w:val="19"/>
              </w:rPr>
              <w:t>Banner form availability, field labels, security access, and local business processes vary by institution. The institution's official policies and procedures always control. This guide should not be used to authorize an expenditure that is otherwise prohibited or restricted.</w:t>
            </w:r>
          </w:p>
        </w:tc>
      </w:tr>
    </w:tbl>
    <w:p w14:paraId="49048004" w14:textId="77777777" w:rsidR="00141F59" w:rsidRDefault="00141F59">
      <w:pPr>
        <w:spacing w:after="20"/>
      </w:pPr>
    </w:p>
    <w:p w14:paraId="4CAFE8A7" w14:textId="77777777" w:rsidR="00141F59" w:rsidRDefault="0006039A">
      <w:pPr>
        <w:pStyle w:val="Heading2"/>
      </w:pPr>
      <w:r>
        <w:t>Table of Contents</w:t>
      </w:r>
    </w:p>
    <w:p w14:paraId="137D2849" w14:textId="77777777" w:rsidR="00141F59" w:rsidRDefault="0006039A">
      <w:r>
        <w:t>1. Budget Accountability and Internal Control</w:t>
      </w:r>
    </w:p>
    <w:p w14:paraId="437F3549" w14:textId="77777777" w:rsidR="00141F59" w:rsidRDefault="0006039A">
      <w:r>
        <w:t>2. Understanding FOAPAL and Fund Restrictions</w:t>
      </w:r>
    </w:p>
    <w:p w14:paraId="022C1747" w14:textId="77777777" w:rsidR="00141F59" w:rsidRDefault="0006039A">
      <w:r>
        <w:t xml:space="preserve">3. </w:t>
      </w:r>
      <w:r>
        <w:t>Understanding the Banner Budget</w:t>
      </w:r>
    </w:p>
    <w:p w14:paraId="7085A587" w14:textId="77777777" w:rsidR="00141F59" w:rsidRDefault="0006039A">
      <w:r>
        <w:t>4. Core Banner 9 Inquiry Forms</w:t>
      </w:r>
    </w:p>
    <w:p w14:paraId="522C28BA" w14:textId="77777777" w:rsidR="00141F59" w:rsidRDefault="0006039A">
      <w:r>
        <w:t>5. The Monthly Budget Review Process</w:t>
      </w:r>
    </w:p>
    <w:p w14:paraId="03233BB8" w14:textId="77777777" w:rsidR="00141F59" w:rsidRDefault="0006039A">
      <w:r>
        <w:t>6. Transaction Review and Reconciliation</w:t>
      </w:r>
    </w:p>
    <w:p w14:paraId="79B6B4A4" w14:textId="77777777" w:rsidR="00141F59" w:rsidRDefault="0006039A">
      <w:r>
        <w:t>7. Encumbrances and Purchase Orders</w:t>
      </w:r>
    </w:p>
    <w:p w14:paraId="713CFDA0" w14:textId="77777777" w:rsidR="00141F59" w:rsidRDefault="0006039A">
      <w:r>
        <w:t>8. Payroll and Personnel Costs</w:t>
      </w:r>
    </w:p>
    <w:p w14:paraId="4BDAD23E" w14:textId="77777777" w:rsidR="00141F59" w:rsidRDefault="0006039A">
      <w:r>
        <w:t>9. Revenue Monitoring</w:t>
      </w:r>
    </w:p>
    <w:p w14:paraId="24C07CC0" w14:textId="77777777" w:rsidR="00141F59" w:rsidRDefault="0006039A">
      <w:r>
        <w:t>10. Budget Transfers and Expenditure Corrections</w:t>
      </w:r>
    </w:p>
    <w:p w14:paraId="077E9EA1" w14:textId="77777777" w:rsidR="00141F59" w:rsidRDefault="0006039A">
      <w:r>
        <w:t>11. Restricted, Auxiliary, Grant, and Fee Funds</w:t>
      </w:r>
    </w:p>
    <w:p w14:paraId="1F9847E7" w14:textId="77777777" w:rsidR="00141F59" w:rsidRDefault="0006039A">
      <w:r>
        <w:t>12. Forecasting the Year-End Position</w:t>
      </w:r>
    </w:p>
    <w:p w14:paraId="300B3259" w14:textId="77777777" w:rsidR="00141F59" w:rsidRDefault="0006039A">
      <w:r>
        <w:t>13. Preventing and Resolving Budget Deficits</w:t>
      </w:r>
    </w:p>
    <w:p w14:paraId="38975A79" w14:textId="77777777" w:rsidR="00141F59" w:rsidRDefault="0006039A">
      <w:r>
        <w:t>14. Fiscal Year-End</w:t>
      </w:r>
    </w:p>
    <w:p w14:paraId="20F61680" w14:textId="77777777" w:rsidR="00141F59" w:rsidRDefault="0006039A">
      <w:r>
        <w:t>15. Mississippi Public-University Compliance Considerations</w:t>
      </w:r>
    </w:p>
    <w:p w14:paraId="1BC9E496" w14:textId="77777777" w:rsidR="00141F59" w:rsidRDefault="0006039A">
      <w:r>
        <w:t>16. Monthly Budget Manager Checklist</w:t>
      </w:r>
    </w:p>
    <w:p w14:paraId="2B53138A" w14:textId="77777777" w:rsidR="00141F59" w:rsidRDefault="0006039A">
      <w:r>
        <w:t>Appendix A. Banner Quick Reference</w:t>
      </w:r>
    </w:p>
    <w:p w14:paraId="2D216A71" w14:textId="77777777" w:rsidR="00141F59" w:rsidRDefault="0006039A">
      <w:r>
        <w:t>Appendix B. Sample Monthly Budget Review Worksheet</w:t>
      </w:r>
    </w:p>
    <w:p w14:paraId="75FD2FF3" w14:textId="77777777" w:rsidR="00141F59" w:rsidRDefault="0006039A">
      <w:r>
        <w:t>Appendix C. Common Warning Signs and Escalation</w:t>
      </w:r>
    </w:p>
    <w:p w14:paraId="0D257CFF" w14:textId="77777777" w:rsidR="00141F59" w:rsidRDefault="0006039A">
      <w:r>
        <w:br w:type="page"/>
      </w:r>
    </w:p>
    <w:p w14:paraId="7238FA4E" w14:textId="77777777" w:rsidR="00141F59" w:rsidRDefault="0006039A">
      <w:pPr>
        <w:pStyle w:val="Heading1"/>
      </w:pPr>
      <w:r>
        <w:lastRenderedPageBreak/>
        <w:t>1. Budget Accountability and Internal Control</w:t>
      </w:r>
    </w:p>
    <w:p w14:paraId="0EE780F8" w14:textId="77777777" w:rsidR="00141F59" w:rsidRDefault="0006039A">
      <w:r>
        <w:t>Budget monitoring is an ongoing management responsibility, not a year-end exercise. A budget manager should understand the resources entrusted to the department, verify that transactions are accurate and allowable, anticipate future obligations, and communicate potential problems early.</w:t>
      </w:r>
    </w:p>
    <w:p w14:paraId="624B5CAB" w14:textId="77777777" w:rsidR="00141F59" w:rsidRDefault="0006039A">
      <w:pPr>
        <w:pStyle w:val="Heading2"/>
      </w:pPr>
      <w:r>
        <w:t>Recommended responsibilities of a budget manager</w:t>
      </w:r>
    </w:p>
    <w:p w14:paraId="002EFD44" w14:textId="77777777" w:rsidR="00141F59" w:rsidRDefault="0006039A">
      <w:pPr>
        <w:pStyle w:val="ListBullet"/>
      </w:pPr>
      <w:r>
        <w:t>Review assigned funds and organizations at least monthly; high-volume or financially sensitive areas may require more frequent review.</w:t>
      </w:r>
    </w:p>
    <w:p w14:paraId="25B6D7D2" w14:textId="1373D6AE" w:rsidR="00141F59" w:rsidRDefault="0006039A">
      <w:pPr>
        <w:pStyle w:val="ListBullet"/>
      </w:pPr>
      <w:r>
        <w:t>Verify that expenditures and revenues are recorded to the correct FOAPAL.</w:t>
      </w:r>
      <w:r w:rsidR="00673C0D">
        <w:t xml:space="preserve"> (</w:t>
      </w:r>
      <w:proofErr w:type="gramStart"/>
      <w:r w:rsidR="00673C0D">
        <w:t>see</w:t>
      </w:r>
      <w:proofErr w:type="gramEnd"/>
      <w:r w:rsidR="00673C0D">
        <w:t xml:space="preserve"> section 2. for explanation of FOAPAL)</w:t>
      </w:r>
    </w:p>
    <w:p w14:paraId="72825D04" w14:textId="77777777" w:rsidR="00141F59" w:rsidRDefault="0006039A">
      <w:pPr>
        <w:pStyle w:val="ListBullet"/>
      </w:pPr>
      <w:r>
        <w:t xml:space="preserve">Review outstanding commitments and encumbrances and </w:t>
      </w:r>
      <w:r>
        <w:t>investigate items that are no longer valid.</w:t>
      </w:r>
    </w:p>
    <w:p w14:paraId="0E3766DB" w14:textId="77777777" w:rsidR="00141F59" w:rsidRDefault="0006039A">
      <w:pPr>
        <w:pStyle w:val="ListBullet"/>
      </w:pPr>
      <w:r>
        <w:t>Identify transactions that are unusual, duplicated, unsupported, or unrelated to the department.</w:t>
      </w:r>
    </w:p>
    <w:p w14:paraId="7E719188" w14:textId="77777777" w:rsidR="00141F59" w:rsidRDefault="0006039A">
      <w:pPr>
        <w:pStyle w:val="ListBullet"/>
      </w:pPr>
      <w:r>
        <w:t>Project known obligations through the end of the fiscal year rather than relying only on the balance displayed in Banner.</w:t>
      </w:r>
    </w:p>
    <w:p w14:paraId="65E91487" w14:textId="0376A0D2" w:rsidR="00141F59" w:rsidRDefault="0006039A">
      <w:pPr>
        <w:pStyle w:val="ListBullet"/>
      </w:pPr>
      <w:r>
        <w:t xml:space="preserve">Ensure expenditures comply with the purpose and restrictions of the funding source and with applicable university, IHL, state, federal, </w:t>
      </w:r>
      <w:r w:rsidR="00673C0D">
        <w:t xml:space="preserve">and </w:t>
      </w:r>
      <w:r>
        <w:t>grant</w:t>
      </w:r>
      <w:r>
        <w:t xml:space="preserve"> requirements.</w:t>
      </w:r>
    </w:p>
    <w:p w14:paraId="39C55E47" w14:textId="77777777" w:rsidR="00141F59" w:rsidRDefault="0006039A">
      <w:pPr>
        <w:pStyle w:val="ListBullet"/>
      </w:pPr>
      <w:r>
        <w:t>Request corrections promptly and retain appropriate supporting documentation.</w:t>
      </w:r>
    </w:p>
    <w:p w14:paraId="63BE9E76" w14:textId="77777777" w:rsidR="00141F59" w:rsidRDefault="0006039A">
      <w:pPr>
        <w:pStyle w:val="ListBullet"/>
      </w:pPr>
      <w:r>
        <w:t>Notify the appropriate Budget, Accounting, Purchasing, Grants, or other central office when a deficit or compliance concern is identified.</w:t>
      </w:r>
    </w:p>
    <w:tbl>
      <w:tblPr>
        <w:tblW w:w="0" w:type="auto"/>
        <w:jc w:val="center"/>
        <w:tblLook w:val="04A0" w:firstRow="1" w:lastRow="0" w:firstColumn="1" w:lastColumn="0" w:noHBand="0" w:noVBand="1"/>
      </w:tblPr>
      <w:tblGrid>
        <w:gridCol w:w="9936"/>
      </w:tblGrid>
      <w:tr w:rsidR="00141F59" w14:paraId="6C35169C" w14:textId="77777777">
        <w:trPr>
          <w:jc w:val="center"/>
        </w:trPr>
        <w:tc>
          <w:tcPr>
            <w:tcW w:w="9936" w:type="dxa"/>
            <w:shd w:val="clear" w:color="auto" w:fill="E2F0D9"/>
          </w:tcPr>
          <w:p w14:paraId="22D1F873" w14:textId="77777777" w:rsidR="00141F59" w:rsidRDefault="0006039A">
            <w:r>
              <w:rPr>
                <w:b/>
                <w:color w:val="17365D"/>
              </w:rPr>
              <w:t>KEY CONTROL PRINCIPLE</w:t>
            </w:r>
            <w:r>
              <w:rPr>
                <w:b/>
                <w:color w:val="17365D"/>
              </w:rPr>
              <w:br/>
            </w:r>
            <w:r>
              <w:rPr>
                <w:sz w:val="19"/>
              </w:rPr>
              <w:t>The person who approves spending should not treat approval as the end of the process. Periodic review of posted transactions and remaining budget is a separate and important internal control.</w:t>
            </w:r>
          </w:p>
        </w:tc>
      </w:tr>
    </w:tbl>
    <w:p w14:paraId="4BB15FC6" w14:textId="77777777" w:rsidR="00141F59" w:rsidRDefault="00141F59">
      <w:pPr>
        <w:spacing w:after="20"/>
      </w:pPr>
    </w:p>
    <w:p w14:paraId="6EB40791" w14:textId="77777777" w:rsidR="00141F59" w:rsidRDefault="0006039A">
      <w:pPr>
        <w:pStyle w:val="Heading1"/>
      </w:pPr>
      <w:r>
        <w:t>2. Understanding FOAPAL and Fund Restrictions</w:t>
      </w:r>
    </w:p>
    <w:p w14:paraId="0B934150" w14:textId="77777777" w:rsidR="00141F59" w:rsidRDefault="0006039A">
      <w:r>
        <w:t>Banner Finance commonly organizes accounting information through FOAPAL elements. Institutions may use some elements more extensively than others.</w:t>
      </w:r>
    </w:p>
    <w:tbl>
      <w:tblPr>
        <w:tblStyle w:val="TableGrid"/>
        <w:tblW w:w="0" w:type="auto"/>
        <w:jc w:val="center"/>
        <w:tblLook w:val="04A0" w:firstRow="1" w:lastRow="0" w:firstColumn="1" w:lastColumn="0" w:noHBand="0" w:noVBand="1"/>
      </w:tblPr>
      <w:tblGrid>
        <w:gridCol w:w="1153"/>
        <w:gridCol w:w="3456"/>
        <w:gridCol w:w="4320"/>
      </w:tblGrid>
      <w:tr w:rsidR="00141F59" w14:paraId="0B93314A" w14:textId="77777777">
        <w:trPr>
          <w:jc w:val="center"/>
        </w:trPr>
        <w:tc>
          <w:tcPr>
            <w:tcW w:w="1152" w:type="dxa"/>
            <w:shd w:val="clear" w:color="auto" w:fill="17365D"/>
            <w:vAlign w:val="center"/>
          </w:tcPr>
          <w:p w14:paraId="2B3D4273" w14:textId="77777777" w:rsidR="00141F59" w:rsidRDefault="0006039A">
            <w:r>
              <w:rPr>
                <w:b/>
                <w:color w:val="FFFFFF"/>
                <w:sz w:val="18"/>
              </w:rPr>
              <w:t>Element</w:t>
            </w:r>
          </w:p>
        </w:tc>
        <w:tc>
          <w:tcPr>
            <w:tcW w:w="3456" w:type="dxa"/>
            <w:shd w:val="clear" w:color="auto" w:fill="17365D"/>
            <w:vAlign w:val="center"/>
          </w:tcPr>
          <w:p w14:paraId="682B0BF1" w14:textId="77777777" w:rsidR="00141F59" w:rsidRDefault="0006039A">
            <w:r>
              <w:rPr>
                <w:b/>
                <w:color w:val="FFFFFF"/>
                <w:sz w:val="18"/>
              </w:rPr>
              <w:t>Purpose</w:t>
            </w:r>
          </w:p>
        </w:tc>
        <w:tc>
          <w:tcPr>
            <w:tcW w:w="4320" w:type="dxa"/>
            <w:shd w:val="clear" w:color="auto" w:fill="17365D"/>
            <w:vAlign w:val="center"/>
          </w:tcPr>
          <w:p w14:paraId="56761868" w14:textId="77777777" w:rsidR="00141F59" w:rsidRDefault="0006039A">
            <w:r>
              <w:rPr>
                <w:b/>
                <w:color w:val="FFFFFF"/>
                <w:sz w:val="18"/>
              </w:rPr>
              <w:t>Budget-manager question</w:t>
            </w:r>
          </w:p>
        </w:tc>
      </w:tr>
      <w:tr w:rsidR="00141F59" w14:paraId="4AD5271B" w14:textId="77777777">
        <w:trPr>
          <w:jc w:val="center"/>
        </w:trPr>
        <w:tc>
          <w:tcPr>
            <w:tcW w:w="1152" w:type="dxa"/>
            <w:vAlign w:val="center"/>
          </w:tcPr>
          <w:p w14:paraId="28D69FC1" w14:textId="77777777" w:rsidR="00141F59" w:rsidRDefault="0006039A">
            <w:r>
              <w:rPr>
                <w:sz w:val="17"/>
              </w:rPr>
              <w:t>Fund</w:t>
            </w:r>
          </w:p>
        </w:tc>
        <w:tc>
          <w:tcPr>
            <w:tcW w:w="3456" w:type="dxa"/>
            <w:vAlign w:val="center"/>
          </w:tcPr>
          <w:p w14:paraId="4CBB679C" w14:textId="77777777" w:rsidR="00141F59" w:rsidRDefault="0006039A">
            <w:r>
              <w:rPr>
                <w:sz w:val="17"/>
              </w:rPr>
              <w:t>Identifies the source or accounting entity for the resources.</w:t>
            </w:r>
          </w:p>
        </w:tc>
        <w:tc>
          <w:tcPr>
            <w:tcW w:w="4320" w:type="dxa"/>
            <w:vAlign w:val="center"/>
          </w:tcPr>
          <w:p w14:paraId="4C82A3DD" w14:textId="77777777" w:rsidR="00141F59" w:rsidRDefault="0006039A">
            <w:r>
              <w:rPr>
                <w:sz w:val="17"/>
              </w:rPr>
              <w:t>What money is this, and what restrictions apply?</w:t>
            </w:r>
          </w:p>
        </w:tc>
      </w:tr>
      <w:tr w:rsidR="00141F59" w14:paraId="2D216315" w14:textId="77777777">
        <w:trPr>
          <w:jc w:val="center"/>
        </w:trPr>
        <w:tc>
          <w:tcPr>
            <w:tcW w:w="1152" w:type="dxa"/>
            <w:shd w:val="clear" w:color="auto" w:fill="F7F9FC"/>
            <w:vAlign w:val="center"/>
          </w:tcPr>
          <w:p w14:paraId="6E4A1E22" w14:textId="77777777" w:rsidR="00141F59" w:rsidRDefault="0006039A">
            <w:r>
              <w:rPr>
                <w:sz w:val="17"/>
              </w:rPr>
              <w:t>Organization</w:t>
            </w:r>
          </w:p>
        </w:tc>
        <w:tc>
          <w:tcPr>
            <w:tcW w:w="3456" w:type="dxa"/>
            <w:shd w:val="clear" w:color="auto" w:fill="F7F9FC"/>
            <w:vAlign w:val="center"/>
          </w:tcPr>
          <w:p w14:paraId="2C72EAB3" w14:textId="77777777" w:rsidR="00141F59" w:rsidRDefault="0006039A">
            <w:r>
              <w:rPr>
                <w:sz w:val="17"/>
              </w:rPr>
              <w:t xml:space="preserve">Identifies the department, unit, or </w:t>
            </w:r>
            <w:r>
              <w:rPr>
                <w:sz w:val="17"/>
              </w:rPr>
              <w:t>responsibility center.</w:t>
            </w:r>
          </w:p>
        </w:tc>
        <w:tc>
          <w:tcPr>
            <w:tcW w:w="4320" w:type="dxa"/>
            <w:shd w:val="clear" w:color="auto" w:fill="F7F9FC"/>
            <w:vAlign w:val="center"/>
          </w:tcPr>
          <w:p w14:paraId="4FA2A1AE" w14:textId="77777777" w:rsidR="00141F59" w:rsidRDefault="0006039A">
            <w:r>
              <w:rPr>
                <w:sz w:val="17"/>
              </w:rPr>
              <w:t>Who is responsible for this activity?</w:t>
            </w:r>
          </w:p>
        </w:tc>
      </w:tr>
      <w:tr w:rsidR="00141F59" w14:paraId="01F8E100" w14:textId="77777777">
        <w:trPr>
          <w:jc w:val="center"/>
        </w:trPr>
        <w:tc>
          <w:tcPr>
            <w:tcW w:w="1152" w:type="dxa"/>
            <w:vAlign w:val="center"/>
          </w:tcPr>
          <w:p w14:paraId="74E2F26B" w14:textId="77777777" w:rsidR="00141F59" w:rsidRDefault="0006039A">
            <w:r>
              <w:rPr>
                <w:sz w:val="17"/>
              </w:rPr>
              <w:t>Account</w:t>
            </w:r>
          </w:p>
        </w:tc>
        <w:tc>
          <w:tcPr>
            <w:tcW w:w="3456" w:type="dxa"/>
            <w:vAlign w:val="center"/>
          </w:tcPr>
          <w:p w14:paraId="417AF240" w14:textId="77777777" w:rsidR="00141F59" w:rsidRDefault="0006039A">
            <w:r>
              <w:rPr>
                <w:sz w:val="17"/>
              </w:rPr>
              <w:t>Classifies the type of revenue, expense, asset, liability, or transfer.</w:t>
            </w:r>
          </w:p>
        </w:tc>
        <w:tc>
          <w:tcPr>
            <w:tcW w:w="4320" w:type="dxa"/>
            <w:vAlign w:val="center"/>
          </w:tcPr>
          <w:p w14:paraId="24AC5300" w14:textId="77777777" w:rsidR="00141F59" w:rsidRDefault="0006039A">
            <w:r>
              <w:rPr>
                <w:sz w:val="17"/>
              </w:rPr>
              <w:t>What kind of transaction is this?</w:t>
            </w:r>
          </w:p>
        </w:tc>
      </w:tr>
      <w:tr w:rsidR="00141F59" w14:paraId="1CC16BDA" w14:textId="77777777">
        <w:trPr>
          <w:jc w:val="center"/>
        </w:trPr>
        <w:tc>
          <w:tcPr>
            <w:tcW w:w="1152" w:type="dxa"/>
            <w:shd w:val="clear" w:color="auto" w:fill="F7F9FC"/>
            <w:vAlign w:val="center"/>
          </w:tcPr>
          <w:p w14:paraId="43DC60BE" w14:textId="77777777" w:rsidR="00141F59" w:rsidRDefault="0006039A">
            <w:r>
              <w:rPr>
                <w:sz w:val="17"/>
              </w:rPr>
              <w:t>Program</w:t>
            </w:r>
          </w:p>
        </w:tc>
        <w:tc>
          <w:tcPr>
            <w:tcW w:w="3456" w:type="dxa"/>
            <w:shd w:val="clear" w:color="auto" w:fill="F7F9FC"/>
            <w:vAlign w:val="center"/>
          </w:tcPr>
          <w:p w14:paraId="78782526" w14:textId="77777777" w:rsidR="00141F59" w:rsidRDefault="0006039A">
            <w:r>
              <w:rPr>
                <w:sz w:val="17"/>
              </w:rPr>
              <w:t>Classifies the institutional function or purpose.</w:t>
            </w:r>
          </w:p>
        </w:tc>
        <w:tc>
          <w:tcPr>
            <w:tcW w:w="4320" w:type="dxa"/>
            <w:shd w:val="clear" w:color="auto" w:fill="F7F9FC"/>
            <w:vAlign w:val="center"/>
          </w:tcPr>
          <w:p w14:paraId="343628A1" w14:textId="77777777" w:rsidR="00141F59" w:rsidRDefault="0006039A">
            <w:r>
              <w:rPr>
                <w:sz w:val="17"/>
              </w:rPr>
              <w:t xml:space="preserve">What </w:t>
            </w:r>
            <w:r>
              <w:rPr>
                <w:sz w:val="17"/>
              </w:rPr>
              <w:t>university function does this support?</w:t>
            </w:r>
          </w:p>
        </w:tc>
      </w:tr>
      <w:tr w:rsidR="00141F59" w14:paraId="05C31E95" w14:textId="77777777">
        <w:trPr>
          <w:jc w:val="center"/>
        </w:trPr>
        <w:tc>
          <w:tcPr>
            <w:tcW w:w="1152" w:type="dxa"/>
            <w:vAlign w:val="center"/>
          </w:tcPr>
          <w:p w14:paraId="435348FC" w14:textId="77777777" w:rsidR="00141F59" w:rsidRDefault="0006039A">
            <w:r>
              <w:rPr>
                <w:sz w:val="17"/>
              </w:rPr>
              <w:t>Activity</w:t>
            </w:r>
          </w:p>
        </w:tc>
        <w:tc>
          <w:tcPr>
            <w:tcW w:w="3456" w:type="dxa"/>
            <w:vAlign w:val="center"/>
          </w:tcPr>
          <w:p w14:paraId="6D23CDA0" w14:textId="554A4886" w:rsidR="00141F59" w:rsidRDefault="0006039A">
            <w:r>
              <w:rPr>
                <w:sz w:val="17"/>
              </w:rPr>
              <w:t>Optional additional tracking for events, projects, or initiatives.</w:t>
            </w:r>
            <w:r w:rsidR="00673C0D">
              <w:rPr>
                <w:sz w:val="17"/>
              </w:rPr>
              <w:t xml:space="preserve">    </w:t>
            </w:r>
            <w:r w:rsidR="00673C0D" w:rsidRPr="00673C0D">
              <w:rPr>
                <w:b/>
                <w:bCs/>
                <w:sz w:val="17"/>
              </w:rPr>
              <w:t>NOT USED</w:t>
            </w:r>
          </w:p>
        </w:tc>
        <w:tc>
          <w:tcPr>
            <w:tcW w:w="4320" w:type="dxa"/>
            <w:vAlign w:val="center"/>
          </w:tcPr>
          <w:p w14:paraId="11946A6A" w14:textId="77777777" w:rsidR="00141F59" w:rsidRDefault="0006039A">
            <w:r>
              <w:rPr>
                <w:sz w:val="17"/>
              </w:rPr>
              <w:t>Is this tied to a specific activity?</w:t>
            </w:r>
          </w:p>
        </w:tc>
      </w:tr>
      <w:tr w:rsidR="00141F59" w14:paraId="380B4FE8" w14:textId="77777777">
        <w:trPr>
          <w:jc w:val="center"/>
        </w:trPr>
        <w:tc>
          <w:tcPr>
            <w:tcW w:w="1152" w:type="dxa"/>
            <w:shd w:val="clear" w:color="auto" w:fill="F7F9FC"/>
            <w:vAlign w:val="center"/>
          </w:tcPr>
          <w:p w14:paraId="2978E4D7" w14:textId="77777777" w:rsidR="00141F59" w:rsidRDefault="0006039A">
            <w:r>
              <w:rPr>
                <w:sz w:val="17"/>
              </w:rPr>
              <w:t>Location</w:t>
            </w:r>
          </w:p>
        </w:tc>
        <w:tc>
          <w:tcPr>
            <w:tcW w:w="3456" w:type="dxa"/>
            <w:shd w:val="clear" w:color="auto" w:fill="F7F9FC"/>
            <w:vAlign w:val="center"/>
          </w:tcPr>
          <w:p w14:paraId="1DEFD41D" w14:textId="547CB4A7" w:rsidR="00141F59" w:rsidRDefault="0006039A">
            <w:r>
              <w:rPr>
                <w:sz w:val="17"/>
              </w:rPr>
              <w:t>Optional location or asset-related tracking.</w:t>
            </w:r>
            <w:r w:rsidR="00673C0D">
              <w:rPr>
                <w:sz w:val="17"/>
              </w:rPr>
              <w:t xml:space="preserve"> </w:t>
            </w:r>
            <w:r w:rsidR="00673C0D" w:rsidRPr="00673C0D">
              <w:rPr>
                <w:b/>
                <w:bCs/>
                <w:sz w:val="17"/>
              </w:rPr>
              <w:t>NOT USED</w:t>
            </w:r>
          </w:p>
        </w:tc>
        <w:tc>
          <w:tcPr>
            <w:tcW w:w="4320" w:type="dxa"/>
            <w:shd w:val="clear" w:color="auto" w:fill="F7F9FC"/>
            <w:vAlign w:val="center"/>
          </w:tcPr>
          <w:p w14:paraId="14A9255E" w14:textId="77777777" w:rsidR="00141F59" w:rsidRDefault="0006039A">
            <w:r>
              <w:rPr>
                <w:sz w:val="17"/>
              </w:rPr>
              <w:t>Does the institution require location coding?</w:t>
            </w:r>
          </w:p>
        </w:tc>
      </w:tr>
    </w:tbl>
    <w:p w14:paraId="25053912" w14:textId="77777777" w:rsidR="00141F59" w:rsidRDefault="00141F59">
      <w:pPr>
        <w:spacing w:after="40"/>
      </w:pPr>
    </w:p>
    <w:tbl>
      <w:tblPr>
        <w:tblW w:w="0" w:type="auto"/>
        <w:jc w:val="center"/>
        <w:tblLook w:val="04A0" w:firstRow="1" w:lastRow="0" w:firstColumn="1" w:lastColumn="0" w:noHBand="0" w:noVBand="1"/>
      </w:tblPr>
      <w:tblGrid>
        <w:gridCol w:w="9936"/>
      </w:tblGrid>
      <w:tr w:rsidR="00141F59" w14:paraId="2EBB5A50" w14:textId="77777777">
        <w:trPr>
          <w:jc w:val="center"/>
        </w:trPr>
        <w:tc>
          <w:tcPr>
            <w:tcW w:w="9936" w:type="dxa"/>
            <w:shd w:val="clear" w:color="auto" w:fill="D9EAF7"/>
          </w:tcPr>
          <w:p w14:paraId="546B2D72" w14:textId="77777777" w:rsidR="00141F59" w:rsidRDefault="0006039A">
            <w:r>
              <w:rPr>
                <w:b/>
                <w:color w:val="17365D"/>
              </w:rPr>
              <w:t>BEST PRACTICE</w:t>
            </w:r>
            <w:r>
              <w:rPr>
                <w:b/>
                <w:color w:val="17365D"/>
              </w:rPr>
              <w:br/>
            </w:r>
            <w:r>
              <w:rPr>
                <w:sz w:val="19"/>
              </w:rPr>
              <w:t>Do not assume that a positive Banner balance means the money can be spent for any purpose. Availability and allowability are separate questions.</w:t>
            </w:r>
          </w:p>
        </w:tc>
      </w:tr>
    </w:tbl>
    <w:p w14:paraId="6484781E" w14:textId="77777777" w:rsidR="00141F59" w:rsidRDefault="00141F59">
      <w:pPr>
        <w:spacing w:after="20"/>
      </w:pPr>
    </w:p>
    <w:p w14:paraId="4900F48F" w14:textId="77777777" w:rsidR="00141F59" w:rsidRDefault="0006039A">
      <w:pPr>
        <w:pStyle w:val="Heading1"/>
      </w:pPr>
      <w:r>
        <w:lastRenderedPageBreak/>
        <w:t>3. Understanding the Banner Budget</w:t>
      </w:r>
    </w:p>
    <w:p w14:paraId="44B2EDBD" w14:textId="77777777" w:rsidR="00141F59" w:rsidRDefault="0006039A">
      <w:r>
        <w:t>A useful budget review separates the accounting balance from the manager's forecast. Banner can show what has been budgeted, posted, and encumbered; the manager must also consider obligations that have not yet reached Banner.</w:t>
      </w:r>
    </w:p>
    <w:tbl>
      <w:tblPr>
        <w:tblStyle w:val="TableGrid"/>
        <w:tblW w:w="0" w:type="auto"/>
        <w:jc w:val="center"/>
        <w:tblLook w:val="04A0" w:firstRow="1" w:lastRow="0" w:firstColumn="1" w:lastColumn="0" w:noHBand="0" w:noVBand="1"/>
      </w:tblPr>
      <w:tblGrid>
        <w:gridCol w:w="4964"/>
        <w:gridCol w:w="4962"/>
      </w:tblGrid>
      <w:tr w:rsidR="00141F59" w14:paraId="1B1FCBD2" w14:textId="77777777">
        <w:trPr>
          <w:jc w:val="center"/>
        </w:trPr>
        <w:tc>
          <w:tcPr>
            <w:tcW w:w="4968" w:type="dxa"/>
            <w:shd w:val="clear" w:color="auto" w:fill="17365D"/>
            <w:vAlign w:val="center"/>
          </w:tcPr>
          <w:p w14:paraId="1F5732B2" w14:textId="77777777" w:rsidR="00141F59" w:rsidRDefault="0006039A">
            <w:r>
              <w:rPr>
                <w:b/>
                <w:color w:val="FFFFFF"/>
                <w:sz w:val="18"/>
              </w:rPr>
              <w:t>Term</w:t>
            </w:r>
          </w:p>
        </w:tc>
        <w:tc>
          <w:tcPr>
            <w:tcW w:w="4968" w:type="dxa"/>
            <w:shd w:val="clear" w:color="auto" w:fill="17365D"/>
            <w:vAlign w:val="center"/>
          </w:tcPr>
          <w:p w14:paraId="6F4091A1" w14:textId="77777777" w:rsidR="00141F59" w:rsidRDefault="0006039A">
            <w:r>
              <w:rPr>
                <w:b/>
                <w:color w:val="FFFFFF"/>
                <w:sz w:val="18"/>
              </w:rPr>
              <w:t>Meaning</w:t>
            </w:r>
          </w:p>
        </w:tc>
      </w:tr>
      <w:tr w:rsidR="00141F59" w14:paraId="157A86C6" w14:textId="77777777">
        <w:trPr>
          <w:jc w:val="center"/>
        </w:trPr>
        <w:tc>
          <w:tcPr>
            <w:tcW w:w="4968" w:type="dxa"/>
            <w:vAlign w:val="center"/>
          </w:tcPr>
          <w:p w14:paraId="2DDAF45B" w14:textId="77777777" w:rsidR="00141F59" w:rsidRDefault="0006039A">
            <w:r>
              <w:rPr>
                <w:sz w:val="17"/>
              </w:rPr>
              <w:t>Original Budget</w:t>
            </w:r>
          </w:p>
        </w:tc>
        <w:tc>
          <w:tcPr>
            <w:tcW w:w="4968" w:type="dxa"/>
            <w:vAlign w:val="center"/>
          </w:tcPr>
          <w:p w14:paraId="43DD2252" w14:textId="77777777" w:rsidR="00141F59" w:rsidRDefault="0006039A">
            <w:r>
              <w:rPr>
                <w:sz w:val="17"/>
              </w:rPr>
              <w:t>The budget established at the beginning of the budget period.</w:t>
            </w:r>
          </w:p>
        </w:tc>
      </w:tr>
      <w:tr w:rsidR="00141F59" w14:paraId="1DC8B07C" w14:textId="77777777">
        <w:trPr>
          <w:jc w:val="center"/>
        </w:trPr>
        <w:tc>
          <w:tcPr>
            <w:tcW w:w="4968" w:type="dxa"/>
            <w:shd w:val="clear" w:color="auto" w:fill="F7F9FC"/>
            <w:vAlign w:val="center"/>
          </w:tcPr>
          <w:p w14:paraId="18910B63" w14:textId="77777777" w:rsidR="00141F59" w:rsidRDefault="0006039A">
            <w:r>
              <w:rPr>
                <w:sz w:val="17"/>
              </w:rPr>
              <w:t>Budget Adjustments</w:t>
            </w:r>
          </w:p>
        </w:tc>
        <w:tc>
          <w:tcPr>
            <w:tcW w:w="4968" w:type="dxa"/>
            <w:shd w:val="clear" w:color="auto" w:fill="F7F9FC"/>
            <w:vAlign w:val="center"/>
          </w:tcPr>
          <w:p w14:paraId="0F6E83F3" w14:textId="77777777" w:rsidR="00141F59" w:rsidRDefault="0006039A">
            <w:r>
              <w:rPr>
                <w:sz w:val="17"/>
              </w:rPr>
              <w:t>Approved increases, decreases, or transfers posted after the original budget.</w:t>
            </w:r>
          </w:p>
        </w:tc>
      </w:tr>
      <w:tr w:rsidR="00141F59" w14:paraId="0364AFD1" w14:textId="77777777">
        <w:trPr>
          <w:jc w:val="center"/>
        </w:trPr>
        <w:tc>
          <w:tcPr>
            <w:tcW w:w="4968" w:type="dxa"/>
            <w:vAlign w:val="center"/>
          </w:tcPr>
          <w:p w14:paraId="37274928" w14:textId="77777777" w:rsidR="00141F59" w:rsidRDefault="0006039A">
            <w:r>
              <w:rPr>
                <w:sz w:val="17"/>
              </w:rPr>
              <w:t>Adjusted Budget</w:t>
            </w:r>
          </w:p>
        </w:tc>
        <w:tc>
          <w:tcPr>
            <w:tcW w:w="4968" w:type="dxa"/>
            <w:vAlign w:val="center"/>
          </w:tcPr>
          <w:p w14:paraId="792E61A3" w14:textId="77777777" w:rsidR="00141F59" w:rsidRDefault="0006039A">
            <w:r>
              <w:rPr>
                <w:sz w:val="17"/>
              </w:rPr>
              <w:t>Original budget plus or minus approved adjustments.</w:t>
            </w:r>
          </w:p>
        </w:tc>
      </w:tr>
      <w:tr w:rsidR="00141F59" w14:paraId="6236202E" w14:textId="77777777">
        <w:trPr>
          <w:jc w:val="center"/>
        </w:trPr>
        <w:tc>
          <w:tcPr>
            <w:tcW w:w="4968" w:type="dxa"/>
            <w:shd w:val="clear" w:color="auto" w:fill="F7F9FC"/>
            <w:vAlign w:val="center"/>
          </w:tcPr>
          <w:p w14:paraId="48B9934E" w14:textId="77777777" w:rsidR="00141F59" w:rsidRDefault="0006039A">
            <w:r>
              <w:rPr>
                <w:sz w:val="17"/>
              </w:rPr>
              <w:t>Year-to-Date (YTD) Activity</w:t>
            </w:r>
          </w:p>
        </w:tc>
        <w:tc>
          <w:tcPr>
            <w:tcW w:w="4968" w:type="dxa"/>
            <w:shd w:val="clear" w:color="auto" w:fill="F7F9FC"/>
            <w:vAlign w:val="center"/>
          </w:tcPr>
          <w:p w14:paraId="125501E3" w14:textId="77777777" w:rsidR="00141F59" w:rsidRDefault="0006039A">
            <w:r>
              <w:rPr>
                <w:sz w:val="17"/>
              </w:rPr>
              <w:t>Transactions posted during the fiscal year.</w:t>
            </w:r>
          </w:p>
        </w:tc>
      </w:tr>
      <w:tr w:rsidR="00141F59" w14:paraId="7EF1EAB8" w14:textId="77777777">
        <w:trPr>
          <w:jc w:val="center"/>
        </w:trPr>
        <w:tc>
          <w:tcPr>
            <w:tcW w:w="4968" w:type="dxa"/>
            <w:vAlign w:val="center"/>
          </w:tcPr>
          <w:p w14:paraId="517D5FD3" w14:textId="77777777" w:rsidR="00141F59" w:rsidRDefault="0006039A">
            <w:r>
              <w:rPr>
                <w:sz w:val="17"/>
              </w:rPr>
              <w:t>Encumbrances/Commitments</w:t>
            </w:r>
          </w:p>
        </w:tc>
        <w:tc>
          <w:tcPr>
            <w:tcW w:w="4968" w:type="dxa"/>
            <w:vAlign w:val="center"/>
          </w:tcPr>
          <w:p w14:paraId="51D1F6B2" w14:textId="77777777" w:rsidR="00141F59" w:rsidRDefault="0006039A">
            <w:r>
              <w:rPr>
                <w:sz w:val="17"/>
              </w:rPr>
              <w:t>Amounts reserved for obligations such as purchase orders, depending on institutional configuration.</w:t>
            </w:r>
          </w:p>
        </w:tc>
      </w:tr>
      <w:tr w:rsidR="00141F59" w14:paraId="3F7F5AD2" w14:textId="77777777">
        <w:trPr>
          <w:jc w:val="center"/>
        </w:trPr>
        <w:tc>
          <w:tcPr>
            <w:tcW w:w="4968" w:type="dxa"/>
            <w:shd w:val="clear" w:color="auto" w:fill="F7F9FC"/>
            <w:vAlign w:val="center"/>
          </w:tcPr>
          <w:p w14:paraId="21C68FCE" w14:textId="77777777" w:rsidR="00141F59" w:rsidRDefault="0006039A">
            <w:r>
              <w:rPr>
                <w:sz w:val="17"/>
              </w:rPr>
              <w:t>Available Balance</w:t>
            </w:r>
          </w:p>
        </w:tc>
        <w:tc>
          <w:tcPr>
            <w:tcW w:w="4968" w:type="dxa"/>
            <w:shd w:val="clear" w:color="auto" w:fill="F7F9FC"/>
            <w:vAlign w:val="center"/>
          </w:tcPr>
          <w:p w14:paraId="59878828" w14:textId="77777777" w:rsidR="00141F59" w:rsidRDefault="0006039A">
            <w:r>
              <w:rPr>
                <w:sz w:val="17"/>
              </w:rPr>
              <w:t>The system-calculated balance remaining after the budget, activity, and commitments recognized by Banner.</w:t>
            </w:r>
          </w:p>
        </w:tc>
      </w:tr>
      <w:tr w:rsidR="00141F59" w14:paraId="0C7B4D09" w14:textId="77777777">
        <w:trPr>
          <w:jc w:val="center"/>
        </w:trPr>
        <w:tc>
          <w:tcPr>
            <w:tcW w:w="4968" w:type="dxa"/>
            <w:vAlign w:val="center"/>
          </w:tcPr>
          <w:p w14:paraId="13CC0089" w14:textId="77777777" w:rsidR="00141F59" w:rsidRDefault="0006039A">
            <w:r>
              <w:rPr>
                <w:sz w:val="17"/>
              </w:rPr>
              <w:t>Projected Uncommitted Balance</w:t>
            </w:r>
          </w:p>
        </w:tc>
        <w:tc>
          <w:tcPr>
            <w:tcW w:w="4968" w:type="dxa"/>
            <w:vAlign w:val="center"/>
          </w:tcPr>
          <w:p w14:paraId="143D3DDF" w14:textId="77777777" w:rsidR="00141F59" w:rsidRDefault="0006039A">
            <w:r>
              <w:rPr>
                <w:sz w:val="17"/>
              </w:rPr>
              <w:t>Management estimate after considering additional known obligations not yet reflected in Banner.</w:t>
            </w:r>
          </w:p>
        </w:tc>
      </w:tr>
    </w:tbl>
    <w:p w14:paraId="71470E82" w14:textId="77777777" w:rsidR="00141F59" w:rsidRDefault="00141F59">
      <w:pPr>
        <w:spacing w:after="40"/>
      </w:pPr>
    </w:p>
    <w:tbl>
      <w:tblPr>
        <w:tblW w:w="0" w:type="auto"/>
        <w:jc w:val="center"/>
        <w:tblLook w:val="04A0" w:firstRow="1" w:lastRow="0" w:firstColumn="1" w:lastColumn="0" w:noHBand="0" w:noVBand="1"/>
      </w:tblPr>
      <w:tblGrid>
        <w:gridCol w:w="9936"/>
      </w:tblGrid>
      <w:tr w:rsidR="00141F59" w14:paraId="20857820" w14:textId="77777777">
        <w:trPr>
          <w:jc w:val="center"/>
        </w:trPr>
        <w:tc>
          <w:tcPr>
            <w:tcW w:w="9936" w:type="dxa"/>
            <w:shd w:val="clear" w:color="auto" w:fill="FFF2CC"/>
          </w:tcPr>
          <w:p w14:paraId="4E0492ED" w14:textId="77777777" w:rsidR="00141F59" w:rsidRDefault="0006039A">
            <w:r>
              <w:rPr>
                <w:b/>
                <w:color w:val="17365D"/>
              </w:rPr>
              <w:t>EXAMPLE</w:t>
            </w:r>
            <w:r>
              <w:rPr>
                <w:b/>
                <w:color w:val="17365D"/>
              </w:rPr>
              <w:br/>
            </w:r>
            <w:r>
              <w:rPr>
                <w:sz w:val="19"/>
              </w:rPr>
              <w:t>Banner available balance: $50,000</w:t>
            </w:r>
            <w:r>
              <w:rPr>
                <w:sz w:val="19"/>
              </w:rPr>
              <w:br/>
              <w:t>Less estimated remaining payroll: $20,000</w:t>
            </w:r>
            <w:r>
              <w:rPr>
                <w:sz w:val="19"/>
              </w:rPr>
              <w:br/>
              <w:t>Less known contract/utilities: $8,000</w:t>
            </w:r>
            <w:r>
              <w:rPr>
                <w:sz w:val="19"/>
              </w:rPr>
              <w:br/>
              <w:t xml:space="preserve">Less </w:t>
            </w:r>
            <w:r>
              <w:rPr>
                <w:sz w:val="19"/>
              </w:rPr>
              <w:t>planned and approved purchases not yet encumbered: $5,000</w:t>
            </w:r>
            <w:r>
              <w:rPr>
                <w:sz w:val="19"/>
              </w:rPr>
              <w:br/>
              <w:t>Projected uncommitted balance: $17,000</w:t>
            </w:r>
          </w:p>
        </w:tc>
      </w:tr>
    </w:tbl>
    <w:p w14:paraId="3B5E17ED" w14:textId="77777777" w:rsidR="00141F59" w:rsidRDefault="00141F59">
      <w:pPr>
        <w:spacing w:after="20"/>
      </w:pPr>
    </w:p>
    <w:p w14:paraId="23C8B0B2" w14:textId="77777777" w:rsidR="00141F59" w:rsidRDefault="0006039A">
      <w:pPr>
        <w:pStyle w:val="Heading1"/>
      </w:pPr>
      <w:r>
        <w:t>4. Core Banner 9 Inquiry Forms</w:t>
      </w:r>
    </w:p>
    <w:p w14:paraId="652F6F15" w14:textId="20985A4D" w:rsidR="00141F59" w:rsidRDefault="0006039A">
      <w:r>
        <w:t xml:space="preserve">The following forms are commonly used in Banner Finance environments. </w:t>
      </w:r>
    </w:p>
    <w:tbl>
      <w:tblPr>
        <w:tblStyle w:val="TableGrid"/>
        <w:tblW w:w="0" w:type="auto"/>
        <w:jc w:val="center"/>
        <w:tblLook w:val="04A0" w:firstRow="1" w:lastRow="0" w:firstColumn="1" w:lastColumn="0" w:noHBand="0" w:noVBand="1"/>
      </w:tblPr>
      <w:tblGrid>
        <w:gridCol w:w="3308"/>
        <w:gridCol w:w="3308"/>
        <w:gridCol w:w="3310"/>
      </w:tblGrid>
      <w:tr w:rsidR="00141F59" w14:paraId="6D2EAB7B" w14:textId="77777777">
        <w:trPr>
          <w:jc w:val="center"/>
        </w:trPr>
        <w:tc>
          <w:tcPr>
            <w:tcW w:w="3312" w:type="dxa"/>
            <w:shd w:val="clear" w:color="auto" w:fill="17365D"/>
            <w:vAlign w:val="center"/>
          </w:tcPr>
          <w:p w14:paraId="67C57156" w14:textId="77777777" w:rsidR="00141F59" w:rsidRDefault="0006039A">
            <w:r>
              <w:rPr>
                <w:b/>
                <w:color w:val="FFFFFF"/>
                <w:sz w:val="18"/>
              </w:rPr>
              <w:t>Form</w:t>
            </w:r>
          </w:p>
        </w:tc>
        <w:tc>
          <w:tcPr>
            <w:tcW w:w="3312" w:type="dxa"/>
            <w:shd w:val="clear" w:color="auto" w:fill="17365D"/>
            <w:vAlign w:val="center"/>
          </w:tcPr>
          <w:p w14:paraId="1C99E1FC" w14:textId="77777777" w:rsidR="00141F59" w:rsidRDefault="0006039A">
            <w:r>
              <w:rPr>
                <w:b/>
                <w:color w:val="FFFFFF"/>
                <w:sz w:val="18"/>
              </w:rPr>
              <w:t>Common use</w:t>
            </w:r>
          </w:p>
        </w:tc>
        <w:tc>
          <w:tcPr>
            <w:tcW w:w="3312" w:type="dxa"/>
            <w:shd w:val="clear" w:color="auto" w:fill="17365D"/>
            <w:vAlign w:val="center"/>
          </w:tcPr>
          <w:p w14:paraId="567F500B" w14:textId="77777777" w:rsidR="00141F59" w:rsidRDefault="0006039A">
            <w:r>
              <w:rPr>
                <w:b/>
                <w:color w:val="FFFFFF"/>
                <w:sz w:val="18"/>
              </w:rPr>
              <w:t>What to review</w:t>
            </w:r>
          </w:p>
        </w:tc>
      </w:tr>
      <w:tr w:rsidR="00141F59" w14:paraId="7113AF75" w14:textId="77777777">
        <w:trPr>
          <w:jc w:val="center"/>
        </w:trPr>
        <w:tc>
          <w:tcPr>
            <w:tcW w:w="3312" w:type="dxa"/>
            <w:vAlign w:val="center"/>
          </w:tcPr>
          <w:p w14:paraId="327586B2" w14:textId="77777777" w:rsidR="00141F59" w:rsidRDefault="0006039A">
            <w:r>
              <w:rPr>
                <w:sz w:val="17"/>
              </w:rPr>
              <w:t>FGIBDST</w:t>
            </w:r>
          </w:p>
        </w:tc>
        <w:tc>
          <w:tcPr>
            <w:tcW w:w="3312" w:type="dxa"/>
            <w:vAlign w:val="center"/>
          </w:tcPr>
          <w:p w14:paraId="61BD1BA0" w14:textId="77777777" w:rsidR="00141F59" w:rsidRDefault="0006039A">
            <w:r>
              <w:rPr>
                <w:sz w:val="17"/>
              </w:rPr>
              <w:t>Organization Budget Status</w:t>
            </w:r>
          </w:p>
        </w:tc>
        <w:tc>
          <w:tcPr>
            <w:tcW w:w="3312" w:type="dxa"/>
            <w:vAlign w:val="center"/>
          </w:tcPr>
          <w:p w14:paraId="2ED9B579" w14:textId="77777777" w:rsidR="00141F59" w:rsidRDefault="0006039A">
            <w:r>
              <w:rPr>
                <w:sz w:val="17"/>
              </w:rPr>
              <w:t>Adjusted budget, YTD activity, commitments/encumbrances, and available balance by account.</w:t>
            </w:r>
          </w:p>
        </w:tc>
      </w:tr>
      <w:tr w:rsidR="00141F59" w14:paraId="6611C590" w14:textId="77777777">
        <w:trPr>
          <w:jc w:val="center"/>
        </w:trPr>
        <w:tc>
          <w:tcPr>
            <w:tcW w:w="3312" w:type="dxa"/>
            <w:shd w:val="clear" w:color="auto" w:fill="F7F9FC"/>
            <w:vAlign w:val="center"/>
          </w:tcPr>
          <w:p w14:paraId="1B3F06CE" w14:textId="77777777" w:rsidR="00141F59" w:rsidRDefault="0006039A">
            <w:r>
              <w:rPr>
                <w:sz w:val="17"/>
              </w:rPr>
              <w:t>FGIBAVL</w:t>
            </w:r>
          </w:p>
        </w:tc>
        <w:tc>
          <w:tcPr>
            <w:tcW w:w="3312" w:type="dxa"/>
            <w:shd w:val="clear" w:color="auto" w:fill="F7F9FC"/>
            <w:vAlign w:val="center"/>
          </w:tcPr>
          <w:p w14:paraId="5BF4C482" w14:textId="77777777" w:rsidR="00141F59" w:rsidRDefault="0006039A">
            <w:r>
              <w:rPr>
                <w:sz w:val="17"/>
              </w:rPr>
              <w:t>Budget Availability Status</w:t>
            </w:r>
          </w:p>
        </w:tc>
        <w:tc>
          <w:tcPr>
            <w:tcW w:w="3312" w:type="dxa"/>
            <w:shd w:val="clear" w:color="auto" w:fill="F7F9FC"/>
            <w:vAlign w:val="center"/>
          </w:tcPr>
          <w:p w14:paraId="5823877E" w14:textId="77777777" w:rsidR="00141F59" w:rsidRDefault="0006039A">
            <w:r>
              <w:rPr>
                <w:sz w:val="17"/>
              </w:rPr>
              <w:t xml:space="preserve">Budget </w:t>
            </w:r>
            <w:r>
              <w:rPr>
                <w:sz w:val="17"/>
              </w:rPr>
              <w:t>availability at the institution's configured budget-control level.</w:t>
            </w:r>
          </w:p>
        </w:tc>
      </w:tr>
      <w:tr w:rsidR="00141F59" w14:paraId="1914D8B6" w14:textId="77777777">
        <w:trPr>
          <w:jc w:val="center"/>
        </w:trPr>
        <w:tc>
          <w:tcPr>
            <w:tcW w:w="3312" w:type="dxa"/>
            <w:vAlign w:val="center"/>
          </w:tcPr>
          <w:p w14:paraId="52D50884" w14:textId="77777777" w:rsidR="00141F59" w:rsidRDefault="0006039A">
            <w:r>
              <w:rPr>
                <w:sz w:val="17"/>
              </w:rPr>
              <w:t>FGITRND</w:t>
            </w:r>
          </w:p>
        </w:tc>
        <w:tc>
          <w:tcPr>
            <w:tcW w:w="3312" w:type="dxa"/>
            <w:vAlign w:val="center"/>
          </w:tcPr>
          <w:p w14:paraId="51B49CAC" w14:textId="77777777" w:rsidR="00141F59" w:rsidRDefault="0006039A">
            <w:r>
              <w:rPr>
                <w:sz w:val="17"/>
              </w:rPr>
              <w:t>Detail Transaction Activity</w:t>
            </w:r>
          </w:p>
        </w:tc>
        <w:tc>
          <w:tcPr>
            <w:tcW w:w="3312" w:type="dxa"/>
            <w:vAlign w:val="center"/>
          </w:tcPr>
          <w:p w14:paraId="18EB61D5" w14:textId="77777777" w:rsidR="00141F59" w:rsidRDefault="0006039A">
            <w:r>
              <w:rPr>
                <w:sz w:val="17"/>
              </w:rPr>
              <w:t>Individual transaction detail supporting summarized activity.</w:t>
            </w:r>
          </w:p>
        </w:tc>
      </w:tr>
      <w:tr w:rsidR="00141F59" w14:paraId="594D93FE" w14:textId="77777777">
        <w:trPr>
          <w:jc w:val="center"/>
        </w:trPr>
        <w:tc>
          <w:tcPr>
            <w:tcW w:w="3312" w:type="dxa"/>
            <w:shd w:val="clear" w:color="auto" w:fill="F7F9FC"/>
            <w:vAlign w:val="center"/>
          </w:tcPr>
          <w:p w14:paraId="4FCA77A9" w14:textId="77777777" w:rsidR="00141F59" w:rsidRDefault="0006039A">
            <w:r>
              <w:rPr>
                <w:sz w:val="17"/>
              </w:rPr>
              <w:t>FGIDOCR</w:t>
            </w:r>
          </w:p>
        </w:tc>
        <w:tc>
          <w:tcPr>
            <w:tcW w:w="3312" w:type="dxa"/>
            <w:shd w:val="clear" w:color="auto" w:fill="F7F9FC"/>
            <w:vAlign w:val="center"/>
          </w:tcPr>
          <w:p w14:paraId="255D7B6B" w14:textId="77777777" w:rsidR="00141F59" w:rsidRDefault="0006039A">
            <w:r>
              <w:rPr>
                <w:sz w:val="17"/>
              </w:rPr>
              <w:t>Document Retrieval Inquiry</w:t>
            </w:r>
          </w:p>
        </w:tc>
        <w:tc>
          <w:tcPr>
            <w:tcW w:w="3312" w:type="dxa"/>
            <w:shd w:val="clear" w:color="auto" w:fill="F7F9FC"/>
            <w:vAlign w:val="center"/>
          </w:tcPr>
          <w:p w14:paraId="0E54765D" w14:textId="77777777" w:rsidR="00141F59" w:rsidRDefault="0006039A">
            <w:r>
              <w:rPr>
                <w:sz w:val="17"/>
              </w:rPr>
              <w:t xml:space="preserve">Accounting distribution and detail for a </w:t>
            </w:r>
            <w:r>
              <w:rPr>
                <w:sz w:val="17"/>
              </w:rPr>
              <w:t>specific document.</w:t>
            </w:r>
          </w:p>
        </w:tc>
      </w:tr>
      <w:tr w:rsidR="00141F59" w14:paraId="428F1DA5" w14:textId="77777777">
        <w:trPr>
          <w:jc w:val="center"/>
        </w:trPr>
        <w:tc>
          <w:tcPr>
            <w:tcW w:w="3312" w:type="dxa"/>
            <w:vAlign w:val="center"/>
          </w:tcPr>
          <w:p w14:paraId="103358AF" w14:textId="77777777" w:rsidR="00141F59" w:rsidRDefault="0006039A">
            <w:r>
              <w:rPr>
                <w:sz w:val="17"/>
              </w:rPr>
              <w:t>FGIENCD</w:t>
            </w:r>
          </w:p>
        </w:tc>
        <w:tc>
          <w:tcPr>
            <w:tcW w:w="3312" w:type="dxa"/>
            <w:vAlign w:val="center"/>
          </w:tcPr>
          <w:p w14:paraId="1CDDEA26" w14:textId="77777777" w:rsidR="00141F59" w:rsidRDefault="0006039A">
            <w:r>
              <w:rPr>
                <w:sz w:val="17"/>
              </w:rPr>
              <w:t>Detail Encumbrance Activity</w:t>
            </w:r>
          </w:p>
        </w:tc>
        <w:tc>
          <w:tcPr>
            <w:tcW w:w="3312" w:type="dxa"/>
            <w:vAlign w:val="center"/>
          </w:tcPr>
          <w:p w14:paraId="086C6C9B" w14:textId="77777777" w:rsidR="00141F59" w:rsidRDefault="0006039A">
            <w:r>
              <w:rPr>
                <w:sz w:val="17"/>
              </w:rPr>
              <w:t>Encumbrance detail and related activity, where used.</w:t>
            </w:r>
          </w:p>
        </w:tc>
      </w:tr>
      <w:tr w:rsidR="00141F59" w14:paraId="54DD0104" w14:textId="77777777">
        <w:trPr>
          <w:jc w:val="center"/>
        </w:trPr>
        <w:tc>
          <w:tcPr>
            <w:tcW w:w="3312" w:type="dxa"/>
            <w:shd w:val="clear" w:color="auto" w:fill="F7F9FC"/>
            <w:vAlign w:val="center"/>
          </w:tcPr>
          <w:p w14:paraId="07712AA5" w14:textId="77777777" w:rsidR="00141F59" w:rsidRDefault="0006039A">
            <w:r>
              <w:rPr>
                <w:sz w:val="17"/>
              </w:rPr>
              <w:t>FGIBDSR</w:t>
            </w:r>
          </w:p>
        </w:tc>
        <w:tc>
          <w:tcPr>
            <w:tcW w:w="3312" w:type="dxa"/>
            <w:shd w:val="clear" w:color="auto" w:fill="F7F9FC"/>
            <w:vAlign w:val="center"/>
          </w:tcPr>
          <w:p w14:paraId="1B7DBE68" w14:textId="77777777" w:rsidR="00141F59" w:rsidRDefault="0006039A">
            <w:r>
              <w:rPr>
                <w:sz w:val="17"/>
              </w:rPr>
              <w:t>Executive Summary</w:t>
            </w:r>
          </w:p>
        </w:tc>
        <w:tc>
          <w:tcPr>
            <w:tcW w:w="3312" w:type="dxa"/>
            <w:shd w:val="clear" w:color="auto" w:fill="F7F9FC"/>
            <w:vAlign w:val="center"/>
          </w:tcPr>
          <w:p w14:paraId="41FE53AE" w14:textId="77777777" w:rsidR="00141F59" w:rsidRDefault="0006039A">
            <w:r>
              <w:rPr>
                <w:sz w:val="17"/>
              </w:rPr>
              <w:t>Higher-level summary inquiry, depending on institutional use and access.</w:t>
            </w:r>
          </w:p>
        </w:tc>
      </w:tr>
    </w:tbl>
    <w:p w14:paraId="3D7CE93E" w14:textId="77777777" w:rsidR="00141F59" w:rsidRDefault="00141F59">
      <w:pPr>
        <w:spacing w:after="40"/>
      </w:pPr>
    </w:p>
    <w:p w14:paraId="440DC052" w14:textId="77777777" w:rsidR="00470D11" w:rsidRDefault="00470D11">
      <w:pPr>
        <w:pStyle w:val="Heading2"/>
      </w:pPr>
    </w:p>
    <w:p w14:paraId="7C0CD3D9" w14:textId="0FCCEF87" w:rsidR="00141F59" w:rsidRDefault="0006039A">
      <w:pPr>
        <w:pStyle w:val="Heading2"/>
      </w:pPr>
      <w:r>
        <w:t>A consistent Banner inquiry routine</w:t>
      </w:r>
    </w:p>
    <w:p w14:paraId="1328345B" w14:textId="77777777" w:rsidR="00141F59" w:rsidRDefault="0006039A">
      <w:pPr>
        <w:pStyle w:val="ListNumber"/>
      </w:pPr>
      <w:r>
        <w:t xml:space="preserve">Open </w:t>
      </w:r>
      <w:r>
        <w:t>the appropriate Banner Finance inquiry form.</w:t>
      </w:r>
    </w:p>
    <w:p w14:paraId="086D38BD" w14:textId="77777777" w:rsidR="00141F59" w:rsidRDefault="0006039A">
      <w:pPr>
        <w:pStyle w:val="ListNumber"/>
      </w:pPr>
      <w:r>
        <w:t>Confirm the fiscal year and chart, if prompted.</w:t>
      </w:r>
    </w:p>
    <w:p w14:paraId="61266E8B" w14:textId="77777777" w:rsidR="00141F59" w:rsidRDefault="0006039A">
      <w:pPr>
        <w:pStyle w:val="ListNumber"/>
      </w:pPr>
      <w:r>
        <w:t>Enter the Fund and Organization for which you are responsible.</w:t>
      </w:r>
    </w:p>
    <w:p w14:paraId="1A6BBA11" w14:textId="77777777" w:rsidR="00141F59" w:rsidRDefault="0006039A">
      <w:pPr>
        <w:pStyle w:val="ListNumber"/>
      </w:pPr>
      <w:r>
        <w:t>Use Account and Program filters when needed; do not over-filter if you are performing a complete monthly review.</w:t>
      </w:r>
    </w:p>
    <w:p w14:paraId="31CDE369" w14:textId="77777777" w:rsidR="00141F59" w:rsidRDefault="0006039A">
      <w:pPr>
        <w:pStyle w:val="ListNumber"/>
      </w:pPr>
      <w:r>
        <w:t>Review summarized balances first.</w:t>
      </w:r>
    </w:p>
    <w:p w14:paraId="429A06B1" w14:textId="77777777" w:rsidR="00141F59" w:rsidRDefault="0006039A">
      <w:pPr>
        <w:pStyle w:val="ListNumber"/>
      </w:pPr>
      <w:r>
        <w:t>Drill into accounts or use transaction-detail inquiry to investigate material, unusual, or unexpected activity.</w:t>
      </w:r>
    </w:p>
    <w:p w14:paraId="29FF7C15" w14:textId="77777777" w:rsidR="00141F59" w:rsidRDefault="0006039A">
      <w:pPr>
        <w:pStyle w:val="ListNumber"/>
      </w:pPr>
      <w:r>
        <w:t>Record questions and follow them through resolution.</w:t>
      </w:r>
    </w:p>
    <w:tbl>
      <w:tblPr>
        <w:tblW w:w="0" w:type="auto"/>
        <w:jc w:val="center"/>
        <w:tblLook w:val="04A0" w:firstRow="1" w:lastRow="0" w:firstColumn="1" w:lastColumn="0" w:noHBand="0" w:noVBand="1"/>
      </w:tblPr>
      <w:tblGrid>
        <w:gridCol w:w="9936"/>
      </w:tblGrid>
      <w:tr w:rsidR="00141F59" w14:paraId="6BFE0B7D" w14:textId="77777777">
        <w:trPr>
          <w:jc w:val="center"/>
        </w:trPr>
        <w:tc>
          <w:tcPr>
            <w:tcW w:w="9936" w:type="dxa"/>
            <w:shd w:val="clear" w:color="auto" w:fill="E7E6E6"/>
          </w:tcPr>
          <w:p w14:paraId="49480BEB" w14:textId="5E97DF0E" w:rsidR="00141F59" w:rsidRDefault="00141F59"/>
        </w:tc>
      </w:tr>
    </w:tbl>
    <w:p w14:paraId="0C0BA171" w14:textId="77777777" w:rsidR="00141F59" w:rsidRDefault="00141F59">
      <w:pPr>
        <w:spacing w:after="20"/>
      </w:pPr>
    </w:p>
    <w:p w14:paraId="3D500584" w14:textId="77777777" w:rsidR="00470D11" w:rsidRPr="00470D11" w:rsidRDefault="00470D11" w:rsidP="00470D11">
      <w:pPr>
        <w:shd w:val="clear" w:color="auto" w:fill="FFFFFF"/>
        <w:spacing w:after="0" w:line="240" w:lineRule="auto"/>
        <w:rPr>
          <w:rFonts w:eastAsia="Times New Roman" w:cs="Times New Roman"/>
          <w:color w:val="000000"/>
          <w:szCs w:val="21"/>
        </w:rPr>
      </w:pPr>
      <w:r w:rsidRPr="00470D11">
        <w:rPr>
          <w:rFonts w:ascii="Calibri" w:eastAsia="Times New Roman" w:hAnsi="Calibri" w:cs="Calibri"/>
          <w:b/>
          <w:bCs/>
          <w:color w:val="4F81BD"/>
          <w:sz w:val="26"/>
          <w:szCs w:val="26"/>
        </w:rPr>
        <w:t>Core Banner 9 Reports</w:t>
      </w:r>
    </w:p>
    <w:p w14:paraId="41F06B39" w14:textId="77777777" w:rsidR="00470D11" w:rsidRDefault="00470D11" w:rsidP="00470D11">
      <w:pPr>
        <w:shd w:val="clear" w:color="auto" w:fill="FFFFFF"/>
        <w:spacing w:after="0" w:line="240" w:lineRule="auto"/>
        <w:rPr>
          <w:rFonts w:ascii="Cambria" w:eastAsia="Times New Roman" w:hAnsi="Cambria" w:cs="Times New Roman"/>
          <w:color w:val="000000"/>
          <w:sz w:val="22"/>
        </w:rPr>
      </w:pPr>
      <w:r w:rsidRPr="00470D11">
        <w:rPr>
          <w:rFonts w:ascii="Cambria" w:eastAsia="Times New Roman" w:hAnsi="Cambria" w:cs="Times New Roman"/>
          <w:color w:val="000000"/>
          <w:sz w:val="22"/>
        </w:rPr>
        <w:t>In addition to Banner inquiry forms, the following core Banner 9 reports are useful for routine budget monitoring and transaction review. Budget managers should use these reports as appropriate for their assigned funds and organizations.</w:t>
      </w:r>
    </w:p>
    <w:p w14:paraId="2E4177A9" w14:textId="77777777" w:rsidR="00470D11" w:rsidRPr="00470D11" w:rsidRDefault="00470D11" w:rsidP="00470D11">
      <w:pPr>
        <w:shd w:val="clear" w:color="auto" w:fill="FFFFFF"/>
        <w:spacing w:after="0" w:line="240" w:lineRule="auto"/>
        <w:rPr>
          <w:rFonts w:eastAsia="Times New Roman" w:cs="Times New Roman"/>
          <w:color w:val="000000"/>
          <w:szCs w:val="21"/>
        </w:rPr>
      </w:pP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3308"/>
        <w:gridCol w:w="3309"/>
        <w:gridCol w:w="3309"/>
      </w:tblGrid>
      <w:tr w:rsidR="00470D11" w:rsidRPr="00470D11" w14:paraId="5D3CBB29" w14:textId="77777777" w:rsidTr="00470D11">
        <w:tc>
          <w:tcPr>
            <w:tcW w:w="3312" w:type="dxa"/>
            <w:tcBorders>
              <w:top w:val="single" w:sz="4" w:space="0" w:color="000000"/>
              <w:left w:val="single" w:sz="4" w:space="0" w:color="000000"/>
              <w:bottom w:val="single" w:sz="4" w:space="0" w:color="000000"/>
              <w:right w:val="single" w:sz="4" w:space="0" w:color="000000"/>
            </w:tcBorders>
            <w:shd w:val="clear" w:color="auto" w:fill="17365D"/>
            <w:hideMark/>
          </w:tcPr>
          <w:p w14:paraId="3F4E547B"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b/>
                <w:bCs/>
                <w:color w:val="FFFFFF"/>
                <w:sz w:val="18"/>
                <w:szCs w:val="18"/>
              </w:rPr>
              <w:t>Report</w:t>
            </w:r>
          </w:p>
        </w:tc>
        <w:tc>
          <w:tcPr>
            <w:tcW w:w="3312" w:type="dxa"/>
            <w:tcBorders>
              <w:top w:val="single" w:sz="4" w:space="0" w:color="000000"/>
              <w:left w:val="single" w:sz="4" w:space="0" w:color="000000"/>
              <w:bottom w:val="single" w:sz="4" w:space="0" w:color="000000"/>
              <w:right w:val="single" w:sz="4" w:space="0" w:color="000000"/>
            </w:tcBorders>
            <w:shd w:val="clear" w:color="auto" w:fill="17365D"/>
            <w:hideMark/>
          </w:tcPr>
          <w:p w14:paraId="3B0BC64E"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b/>
                <w:bCs/>
                <w:color w:val="FFFFFF"/>
                <w:sz w:val="18"/>
                <w:szCs w:val="18"/>
              </w:rPr>
              <w:t>Primary Use</w:t>
            </w:r>
          </w:p>
        </w:tc>
        <w:tc>
          <w:tcPr>
            <w:tcW w:w="3312" w:type="dxa"/>
            <w:tcBorders>
              <w:top w:val="single" w:sz="4" w:space="0" w:color="000000"/>
              <w:left w:val="single" w:sz="4" w:space="0" w:color="000000"/>
              <w:bottom w:val="single" w:sz="4" w:space="0" w:color="000000"/>
              <w:right w:val="single" w:sz="4" w:space="0" w:color="000000"/>
            </w:tcBorders>
            <w:shd w:val="clear" w:color="auto" w:fill="17365D"/>
            <w:hideMark/>
          </w:tcPr>
          <w:p w14:paraId="4DC36D16"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b/>
                <w:bCs/>
                <w:color w:val="FFFFFF"/>
                <w:sz w:val="18"/>
                <w:szCs w:val="18"/>
              </w:rPr>
              <w:t>Budget Monitoring Application</w:t>
            </w:r>
          </w:p>
        </w:tc>
      </w:tr>
      <w:tr w:rsidR="00470D11" w:rsidRPr="00470D11" w14:paraId="280A9483" w14:textId="77777777" w:rsidTr="00470D11">
        <w:tc>
          <w:tcPr>
            <w:tcW w:w="3312" w:type="dxa"/>
            <w:tcBorders>
              <w:top w:val="single" w:sz="4" w:space="0" w:color="000000"/>
              <w:left w:val="single" w:sz="4" w:space="0" w:color="000000"/>
              <w:bottom w:val="single" w:sz="4" w:space="0" w:color="000000"/>
              <w:right w:val="single" w:sz="4" w:space="0" w:color="000000"/>
            </w:tcBorders>
            <w:shd w:val="clear" w:color="auto" w:fill="FFFFFF"/>
            <w:hideMark/>
          </w:tcPr>
          <w:p w14:paraId="7DE4E962"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color w:val="000000"/>
                <w:sz w:val="17"/>
                <w:szCs w:val="17"/>
              </w:rPr>
              <w:t>FGRBDSC</w:t>
            </w:r>
          </w:p>
        </w:tc>
        <w:tc>
          <w:tcPr>
            <w:tcW w:w="3312" w:type="dxa"/>
            <w:tcBorders>
              <w:top w:val="single" w:sz="4" w:space="0" w:color="000000"/>
              <w:left w:val="single" w:sz="4" w:space="0" w:color="000000"/>
              <w:bottom w:val="single" w:sz="4" w:space="0" w:color="000000"/>
              <w:right w:val="single" w:sz="4" w:space="0" w:color="000000"/>
            </w:tcBorders>
            <w:shd w:val="clear" w:color="auto" w:fill="FFFFFF"/>
            <w:hideMark/>
          </w:tcPr>
          <w:p w14:paraId="51DA5E78"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color w:val="000000"/>
                <w:sz w:val="17"/>
                <w:szCs w:val="17"/>
              </w:rPr>
              <w:t>Budget Status Report</w:t>
            </w:r>
          </w:p>
        </w:tc>
        <w:tc>
          <w:tcPr>
            <w:tcW w:w="3312" w:type="dxa"/>
            <w:tcBorders>
              <w:top w:val="single" w:sz="4" w:space="0" w:color="000000"/>
              <w:left w:val="single" w:sz="4" w:space="0" w:color="000000"/>
              <w:bottom w:val="single" w:sz="4" w:space="0" w:color="000000"/>
              <w:right w:val="single" w:sz="4" w:space="0" w:color="000000"/>
            </w:tcBorders>
            <w:shd w:val="clear" w:color="auto" w:fill="FFFFFF"/>
            <w:hideMark/>
          </w:tcPr>
          <w:p w14:paraId="416703D3"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color w:val="000000"/>
                <w:sz w:val="17"/>
                <w:szCs w:val="17"/>
              </w:rPr>
              <w:t>Provides a printed budget-status view that can be used to review budget, activity, commitments, and available balances for assigned areas.</w:t>
            </w:r>
          </w:p>
        </w:tc>
      </w:tr>
      <w:tr w:rsidR="00470D11" w:rsidRPr="00470D11" w14:paraId="4B87845D" w14:textId="77777777" w:rsidTr="00470D11">
        <w:tc>
          <w:tcPr>
            <w:tcW w:w="3312" w:type="dxa"/>
            <w:tcBorders>
              <w:top w:val="single" w:sz="4" w:space="0" w:color="000000"/>
              <w:left w:val="single" w:sz="4" w:space="0" w:color="000000"/>
              <w:bottom w:val="single" w:sz="4" w:space="0" w:color="000000"/>
              <w:right w:val="single" w:sz="4" w:space="0" w:color="000000"/>
            </w:tcBorders>
            <w:shd w:val="clear" w:color="auto" w:fill="FFFFFF"/>
            <w:hideMark/>
          </w:tcPr>
          <w:p w14:paraId="38F03DC8"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color w:val="000000"/>
                <w:sz w:val="17"/>
                <w:szCs w:val="17"/>
              </w:rPr>
              <w:t>FGRODTA</w:t>
            </w:r>
          </w:p>
        </w:tc>
        <w:tc>
          <w:tcPr>
            <w:tcW w:w="3312" w:type="dxa"/>
            <w:tcBorders>
              <w:top w:val="single" w:sz="4" w:space="0" w:color="000000"/>
              <w:left w:val="single" w:sz="4" w:space="0" w:color="000000"/>
              <w:bottom w:val="single" w:sz="4" w:space="0" w:color="000000"/>
              <w:right w:val="single" w:sz="4" w:space="0" w:color="000000"/>
            </w:tcBorders>
            <w:shd w:val="clear" w:color="auto" w:fill="FFFFFF"/>
            <w:hideMark/>
          </w:tcPr>
          <w:p w14:paraId="737EF37A"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color w:val="000000"/>
                <w:sz w:val="17"/>
                <w:szCs w:val="17"/>
              </w:rPr>
              <w:t>Organization Detail Activity Report</w:t>
            </w:r>
          </w:p>
        </w:tc>
        <w:tc>
          <w:tcPr>
            <w:tcW w:w="3312" w:type="dxa"/>
            <w:tcBorders>
              <w:top w:val="single" w:sz="4" w:space="0" w:color="000000"/>
              <w:left w:val="single" w:sz="4" w:space="0" w:color="000000"/>
              <w:bottom w:val="single" w:sz="4" w:space="0" w:color="000000"/>
              <w:right w:val="single" w:sz="4" w:space="0" w:color="000000"/>
            </w:tcBorders>
            <w:shd w:val="clear" w:color="auto" w:fill="FFFFFF"/>
            <w:hideMark/>
          </w:tcPr>
          <w:p w14:paraId="684F76A5" w14:textId="77777777" w:rsidR="00470D11" w:rsidRPr="00470D11" w:rsidRDefault="00470D11" w:rsidP="00470D11">
            <w:pPr>
              <w:spacing w:after="0" w:line="240" w:lineRule="auto"/>
              <w:rPr>
                <w:rFonts w:eastAsia="Times New Roman" w:cs="Segoe UI"/>
                <w:color w:val="000000"/>
                <w:szCs w:val="21"/>
              </w:rPr>
            </w:pPr>
            <w:r w:rsidRPr="00470D11">
              <w:rPr>
                <w:rFonts w:ascii="Cambria" w:eastAsia="Times New Roman" w:hAnsi="Cambria" w:cs="Segoe UI"/>
                <w:color w:val="000000"/>
                <w:sz w:val="17"/>
                <w:szCs w:val="17"/>
              </w:rPr>
              <w:t>Provides detailed organization activity that can be used to review and reconcile transactions posted to the department or organization.</w:t>
            </w:r>
          </w:p>
        </w:tc>
      </w:tr>
    </w:tbl>
    <w:p w14:paraId="4ABF45FB" w14:textId="77777777" w:rsidR="00470D11" w:rsidRDefault="00470D11" w:rsidP="00470D11">
      <w:pPr>
        <w:shd w:val="clear" w:color="auto" w:fill="FFFFFF"/>
        <w:spacing w:after="0" w:line="240" w:lineRule="auto"/>
        <w:rPr>
          <w:rFonts w:ascii="Cambria" w:eastAsia="Times New Roman" w:hAnsi="Cambria" w:cs="Times New Roman"/>
          <w:b/>
          <w:bCs/>
          <w:color w:val="17365D"/>
          <w:sz w:val="22"/>
        </w:rPr>
      </w:pPr>
    </w:p>
    <w:p w14:paraId="28EDB742" w14:textId="56A6740F" w:rsidR="00470D11" w:rsidRDefault="00470D11" w:rsidP="00470D11">
      <w:pPr>
        <w:shd w:val="clear" w:color="auto" w:fill="FFFFFF"/>
        <w:spacing w:after="0" w:line="240" w:lineRule="auto"/>
        <w:rPr>
          <w:rFonts w:ascii="Cambria" w:eastAsia="Times New Roman" w:hAnsi="Cambria" w:cs="Times New Roman"/>
          <w:color w:val="000000"/>
          <w:sz w:val="22"/>
        </w:rPr>
      </w:pPr>
      <w:r w:rsidRPr="00470D11">
        <w:rPr>
          <w:rFonts w:ascii="Cambria" w:eastAsia="Times New Roman" w:hAnsi="Cambria" w:cs="Times New Roman"/>
          <w:b/>
          <w:bCs/>
          <w:color w:val="17365D"/>
          <w:sz w:val="22"/>
        </w:rPr>
        <w:t xml:space="preserve">Printing the reports. </w:t>
      </w:r>
      <w:r w:rsidRPr="00470D11">
        <w:rPr>
          <w:rFonts w:ascii="Cambria" w:eastAsia="Times New Roman" w:hAnsi="Cambria" w:cs="Times New Roman"/>
          <w:color w:val="000000"/>
          <w:sz w:val="22"/>
        </w:rPr>
        <w:t>Refer to the Banner Training Manual for step-by-step instructions on running and printing FGRBDSC, FGRODTA, and other Banner reports.</w:t>
      </w:r>
    </w:p>
    <w:p w14:paraId="574823AF" w14:textId="77777777" w:rsidR="00470D11" w:rsidRPr="00470D11" w:rsidRDefault="00470D11" w:rsidP="00470D11">
      <w:pPr>
        <w:shd w:val="clear" w:color="auto" w:fill="FFFFFF"/>
        <w:spacing w:after="0" w:line="240" w:lineRule="auto"/>
        <w:rPr>
          <w:rFonts w:eastAsia="Times New Roman" w:cs="Times New Roman"/>
          <w:color w:val="000000"/>
          <w:szCs w:val="21"/>
        </w:rPr>
      </w:pPr>
    </w:p>
    <w:p w14:paraId="429C1FCA" w14:textId="77777777" w:rsidR="00470D11" w:rsidRPr="00470D11" w:rsidRDefault="00470D11" w:rsidP="00470D11">
      <w:pPr>
        <w:shd w:val="clear" w:color="auto" w:fill="FFFFFF"/>
        <w:spacing w:after="0" w:line="240" w:lineRule="auto"/>
        <w:rPr>
          <w:rFonts w:eastAsia="Times New Roman" w:cs="Times New Roman"/>
          <w:color w:val="000000"/>
          <w:szCs w:val="21"/>
        </w:rPr>
      </w:pPr>
      <w:r w:rsidRPr="00470D11">
        <w:rPr>
          <w:rFonts w:ascii="Cambria" w:eastAsia="Times New Roman" w:hAnsi="Cambria" w:cs="Times New Roman"/>
          <w:b/>
          <w:bCs/>
          <w:color w:val="000000"/>
          <w:sz w:val="22"/>
        </w:rPr>
        <w:t xml:space="preserve">Best Practice: </w:t>
      </w:r>
      <w:r w:rsidRPr="00470D11">
        <w:rPr>
          <w:rFonts w:ascii="Cambria" w:eastAsia="Times New Roman" w:hAnsi="Cambria" w:cs="Times New Roman"/>
          <w:color w:val="000000"/>
          <w:sz w:val="22"/>
        </w:rPr>
        <w:t>Use the summary budget report together with detailed transaction activity. A summary can identify where a potential problem exists; the detail report helps determine the transactions causing the variance or balance.</w:t>
      </w:r>
    </w:p>
    <w:p w14:paraId="415ED8D1" w14:textId="77777777" w:rsidR="00470D11" w:rsidRDefault="00470D11">
      <w:pPr>
        <w:spacing w:after="20"/>
      </w:pPr>
    </w:p>
    <w:p w14:paraId="353D163D" w14:textId="77777777" w:rsidR="00141F59" w:rsidRDefault="0006039A">
      <w:pPr>
        <w:pStyle w:val="Heading1"/>
      </w:pPr>
      <w:r>
        <w:t>5. The Monthly Budget Review Process</w:t>
      </w:r>
    </w:p>
    <w:p w14:paraId="038ADFC1" w14:textId="77777777" w:rsidR="00141F59" w:rsidRDefault="0006039A">
      <w:r>
        <w:t>A documented monthly review is recommended. The following sequence keeps the review focused on both accuracy and future sufficiency.</w:t>
      </w:r>
    </w:p>
    <w:tbl>
      <w:tblPr>
        <w:tblStyle w:val="TableGrid"/>
        <w:tblW w:w="0" w:type="auto"/>
        <w:jc w:val="center"/>
        <w:tblLook w:val="04A0" w:firstRow="1" w:lastRow="0" w:firstColumn="1" w:lastColumn="0" w:noHBand="0" w:noVBand="1"/>
      </w:tblPr>
      <w:tblGrid>
        <w:gridCol w:w="3308"/>
        <w:gridCol w:w="3309"/>
        <w:gridCol w:w="3309"/>
      </w:tblGrid>
      <w:tr w:rsidR="00141F59" w14:paraId="2D52F797" w14:textId="77777777">
        <w:trPr>
          <w:jc w:val="center"/>
        </w:trPr>
        <w:tc>
          <w:tcPr>
            <w:tcW w:w="3312" w:type="dxa"/>
            <w:shd w:val="clear" w:color="auto" w:fill="17365D"/>
            <w:vAlign w:val="center"/>
          </w:tcPr>
          <w:p w14:paraId="01B6AE6F" w14:textId="77777777" w:rsidR="00141F59" w:rsidRDefault="0006039A">
            <w:r>
              <w:rPr>
                <w:b/>
                <w:color w:val="FFFFFF"/>
                <w:sz w:val="18"/>
              </w:rPr>
              <w:t>Step</w:t>
            </w:r>
          </w:p>
        </w:tc>
        <w:tc>
          <w:tcPr>
            <w:tcW w:w="3312" w:type="dxa"/>
            <w:shd w:val="clear" w:color="auto" w:fill="17365D"/>
            <w:vAlign w:val="center"/>
          </w:tcPr>
          <w:p w14:paraId="584E7818" w14:textId="77777777" w:rsidR="00141F59" w:rsidRDefault="0006039A">
            <w:r>
              <w:rPr>
                <w:b/>
                <w:color w:val="FFFFFF"/>
                <w:sz w:val="18"/>
              </w:rPr>
              <w:t>Review</w:t>
            </w:r>
          </w:p>
        </w:tc>
        <w:tc>
          <w:tcPr>
            <w:tcW w:w="3312" w:type="dxa"/>
            <w:shd w:val="clear" w:color="auto" w:fill="17365D"/>
            <w:vAlign w:val="center"/>
          </w:tcPr>
          <w:p w14:paraId="55620B29" w14:textId="77777777" w:rsidR="00141F59" w:rsidRDefault="0006039A">
            <w:r>
              <w:rPr>
                <w:b/>
                <w:color w:val="FFFFFF"/>
                <w:sz w:val="18"/>
              </w:rPr>
              <w:t>Action</w:t>
            </w:r>
          </w:p>
        </w:tc>
      </w:tr>
      <w:tr w:rsidR="00141F59" w14:paraId="1B271CED" w14:textId="77777777">
        <w:trPr>
          <w:jc w:val="center"/>
        </w:trPr>
        <w:tc>
          <w:tcPr>
            <w:tcW w:w="3312" w:type="dxa"/>
            <w:vAlign w:val="center"/>
          </w:tcPr>
          <w:p w14:paraId="62F13192" w14:textId="77777777" w:rsidR="00141F59" w:rsidRDefault="0006039A">
            <w:r>
              <w:rPr>
                <w:sz w:val="17"/>
              </w:rPr>
              <w:t>1</w:t>
            </w:r>
          </w:p>
        </w:tc>
        <w:tc>
          <w:tcPr>
            <w:tcW w:w="3312" w:type="dxa"/>
            <w:vAlign w:val="center"/>
          </w:tcPr>
          <w:p w14:paraId="5A07A673" w14:textId="77777777" w:rsidR="00141F59" w:rsidRDefault="0006039A">
            <w:r>
              <w:rPr>
                <w:sz w:val="17"/>
              </w:rPr>
              <w:t>Overall budget position</w:t>
            </w:r>
          </w:p>
        </w:tc>
        <w:tc>
          <w:tcPr>
            <w:tcW w:w="3312" w:type="dxa"/>
            <w:vAlign w:val="center"/>
          </w:tcPr>
          <w:p w14:paraId="72895FA4" w14:textId="77777777" w:rsidR="00141F59" w:rsidRDefault="0006039A">
            <w:r>
              <w:rPr>
                <w:sz w:val="17"/>
              </w:rPr>
              <w:t>Review adjusted budget, YTD activity, commitments, and available balance.</w:t>
            </w:r>
          </w:p>
        </w:tc>
      </w:tr>
      <w:tr w:rsidR="00141F59" w14:paraId="2539AC71" w14:textId="77777777">
        <w:trPr>
          <w:jc w:val="center"/>
        </w:trPr>
        <w:tc>
          <w:tcPr>
            <w:tcW w:w="3312" w:type="dxa"/>
            <w:shd w:val="clear" w:color="auto" w:fill="F7F9FC"/>
            <w:vAlign w:val="center"/>
          </w:tcPr>
          <w:p w14:paraId="468D7DCC" w14:textId="77777777" w:rsidR="00141F59" w:rsidRDefault="0006039A">
            <w:r>
              <w:rPr>
                <w:sz w:val="17"/>
              </w:rPr>
              <w:t>2</w:t>
            </w:r>
          </w:p>
        </w:tc>
        <w:tc>
          <w:tcPr>
            <w:tcW w:w="3312" w:type="dxa"/>
            <w:shd w:val="clear" w:color="auto" w:fill="F7F9FC"/>
            <w:vAlign w:val="center"/>
          </w:tcPr>
          <w:p w14:paraId="3D1FE2D0" w14:textId="77777777" w:rsidR="00141F59" w:rsidRDefault="0006039A">
            <w:r>
              <w:rPr>
                <w:sz w:val="17"/>
              </w:rPr>
              <w:t>Transaction detail</w:t>
            </w:r>
          </w:p>
        </w:tc>
        <w:tc>
          <w:tcPr>
            <w:tcW w:w="3312" w:type="dxa"/>
            <w:shd w:val="clear" w:color="auto" w:fill="F7F9FC"/>
            <w:vAlign w:val="center"/>
          </w:tcPr>
          <w:p w14:paraId="0B4D0807" w14:textId="77777777" w:rsidR="00141F59" w:rsidRDefault="0006039A">
            <w:r>
              <w:rPr>
                <w:sz w:val="17"/>
              </w:rPr>
              <w:t xml:space="preserve">Scan activity for </w:t>
            </w:r>
            <w:r>
              <w:rPr>
                <w:sz w:val="17"/>
              </w:rPr>
              <w:t>incorrect, unusual, duplicate, or unexpected charges.</w:t>
            </w:r>
          </w:p>
        </w:tc>
      </w:tr>
      <w:tr w:rsidR="00141F59" w14:paraId="3932208E" w14:textId="77777777">
        <w:trPr>
          <w:jc w:val="center"/>
        </w:trPr>
        <w:tc>
          <w:tcPr>
            <w:tcW w:w="3312" w:type="dxa"/>
            <w:vAlign w:val="center"/>
          </w:tcPr>
          <w:p w14:paraId="309931DC" w14:textId="77777777" w:rsidR="00141F59" w:rsidRDefault="0006039A">
            <w:r>
              <w:rPr>
                <w:sz w:val="17"/>
              </w:rPr>
              <w:t>3</w:t>
            </w:r>
          </w:p>
        </w:tc>
        <w:tc>
          <w:tcPr>
            <w:tcW w:w="3312" w:type="dxa"/>
            <w:vAlign w:val="center"/>
          </w:tcPr>
          <w:p w14:paraId="001A915A" w14:textId="77777777" w:rsidR="00141F59" w:rsidRDefault="0006039A">
            <w:r>
              <w:rPr>
                <w:sz w:val="17"/>
              </w:rPr>
              <w:t>Encumbrances</w:t>
            </w:r>
          </w:p>
        </w:tc>
        <w:tc>
          <w:tcPr>
            <w:tcW w:w="3312" w:type="dxa"/>
            <w:vAlign w:val="center"/>
          </w:tcPr>
          <w:p w14:paraId="1646E7AA" w14:textId="77777777" w:rsidR="00141F59" w:rsidRDefault="0006039A">
            <w:r>
              <w:rPr>
                <w:sz w:val="17"/>
              </w:rPr>
              <w:t>Verify open commitments remain valid and are stated at reasonable amounts.</w:t>
            </w:r>
          </w:p>
        </w:tc>
      </w:tr>
      <w:tr w:rsidR="00141F59" w14:paraId="13324AFF" w14:textId="77777777">
        <w:trPr>
          <w:jc w:val="center"/>
        </w:trPr>
        <w:tc>
          <w:tcPr>
            <w:tcW w:w="3312" w:type="dxa"/>
            <w:shd w:val="clear" w:color="auto" w:fill="F7F9FC"/>
            <w:vAlign w:val="center"/>
          </w:tcPr>
          <w:p w14:paraId="5317A77B" w14:textId="77777777" w:rsidR="00141F59" w:rsidRDefault="0006039A">
            <w:r>
              <w:rPr>
                <w:sz w:val="17"/>
              </w:rPr>
              <w:t>4</w:t>
            </w:r>
          </w:p>
        </w:tc>
        <w:tc>
          <w:tcPr>
            <w:tcW w:w="3312" w:type="dxa"/>
            <w:shd w:val="clear" w:color="auto" w:fill="F7F9FC"/>
            <w:vAlign w:val="center"/>
          </w:tcPr>
          <w:p w14:paraId="4D80F911" w14:textId="77777777" w:rsidR="00141F59" w:rsidRDefault="0006039A">
            <w:r>
              <w:rPr>
                <w:sz w:val="17"/>
              </w:rPr>
              <w:t>Payroll</w:t>
            </w:r>
          </w:p>
        </w:tc>
        <w:tc>
          <w:tcPr>
            <w:tcW w:w="3312" w:type="dxa"/>
            <w:shd w:val="clear" w:color="auto" w:fill="F7F9FC"/>
            <w:vAlign w:val="center"/>
          </w:tcPr>
          <w:p w14:paraId="67DFE3C8" w14:textId="77777777" w:rsidR="00141F59" w:rsidRDefault="0006039A">
            <w:r>
              <w:rPr>
                <w:sz w:val="17"/>
              </w:rPr>
              <w:t>Review salary and fringe activity and consider remaining payroll obligations.</w:t>
            </w:r>
          </w:p>
        </w:tc>
      </w:tr>
      <w:tr w:rsidR="00141F59" w14:paraId="63E53BC2" w14:textId="77777777">
        <w:trPr>
          <w:jc w:val="center"/>
        </w:trPr>
        <w:tc>
          <w:tcPr>
            <w:tcW w:w="3312" w:type="dxa"/>
            <w:vAlign w:val="center"/>
          </w:tcPr>
          <w:p w14:paraId="0B73DC3A" w14:textId="77777777" w:rsidR="00141F59" w:rsidRDefault="0006039A">
            <w:r>
              <w:rPr>
                <w:sz w:val="17"/>
              </w:rPr>
              <w:t>5</w:t>
            </w:r>
          </w:p>
        </w:tc>
        <w:tc>
          <w:tcPr>
            <w:tcW w:w="3312" w:type="dxa"/>
            <w:vAlign w:val="center"/>
          </w:tcPr>
          <w:p w14:paraId="76D44A66" w14:textId="77777777" w:rsidR="00141F59" w:rsidRDefault="0006039A">
            <w:r>
              <w:rPr>
                <w:sz w:val="17"/>
              </w:rPr>
              <w:t>Revenue</w:t>
            </w:r>
          </w:p>
        </w:tc>
        <w:tc>
          <w:tcPr>
            <w:tcW w:w="3312" w:type="dxa"/>
            <w:vAlign w:val="center"/>
          </w:tcPr>
          <w:p w14:paraId="49372723" w14:textId="77777777" w:rsidR="00141F59" w:rsidRDefault="0006039A">
            <w:r>
              <w:rPr>
                <w:sz w:val="17"/>
              </w:rPr>
              <w:t>Compare actual collections to expectations where the department is responsible for revenue.</w:t>
            </w:r>
          </w:p>
        </w:tc>
      </w:tr>
      <w:tr w:rsidR="00141F59" w14:paraId="4419F91F" w14:textId="77777777">
        <w:trPr>
          <w:jc w:val="center"/>
        </w:trPr>
        <w:tc>
          <w:tcPr>
            <w:tcW w:w="3312" w:type="dxa"/>
            <w:shd w:val="clear" w:color="auto" w:fill="F7F9FC"/>
            <w:vAlign w:val="center"/>
          </w:tcPr>
          <w:p w14:paraId="6C327DB5" w14:textId="77777777" w:rsidR="00141F59" w:rsidRDefault="0006039A">
            <w:r>
              <w:rPr>
                <w:sz w:val="17"/>
              </w:rPr>
              <w:t>6</w:t>
            </w:r>
          </w:p>
        </w:tc>
        <w:tc>
          <w:tcPr>
            <w:tcW w:w="3312" w:type="dxa"/>
            <w:shd w:val="clear" w:color="auto" w:fill="F7F9FC"/>
            <w:vAlign w:val="center"/>
          </w:tcPr>
          <w:p w14:paraId="680D68BC" w14:textId="77777777" w:rsidR="00141F59" w:rsidRDefault="0006039A">
            <w:r>
              <w:rPr>
                <w:sz w:val="17"/>
              </w:rPr>
              <w:t>Unposted obligations</w:t>
            </w:r>
          </w:p>
        </w:tc>
        <w:tc>
          <w:tcPr>
            <w:tcW w:w="3312" w:type="dxa"/>
            <w:shd w:val="clear" w:color="auto" w:fill="F7F9FC"/>
            <w:vAlign w:val="center"/>
          </w:tcPr>
          <w:p w14:paraId="6577E85C" w14:textId="77777777" w:rsidR="00141F59" w:rsidRDefault="0006039A">
            <w:r>
              <w:rPr>
                <w:sz w:val="17"/>
              </w:rPr>
              <w:t>Identify contracts, travel, PCard activity, invoices, hiring actions, and purchases not yet reflected.</w:t>
            </w:r>
          </w:p>
        </w:tc>
      </w:tr>
      <w:tr w:rsidR="00141F59" w14:paraId="4340F8BC" w14:textId="77777777">
        <w:trPr>
          <w:jc w:val="center"/>
        </w:trPr>
        <w:tc>
          <w:tcPr>
            <w:tcW w:w="3312" w:type="dxa"/>
            <w:vAlign w:val="center"/>
          </w:tcPr>
          <w:p w14:paraId="33770316" w14:textId="77777777" w:rsidR="00141F59" w:rsidRDefault="0006039A">
            <w:r>
              <w:rPr>
                <w:sz w:val="17"/>
              </w:rPr>
              <w:t>7</w:t>
            </w:r>
          </w:p>
        </w:tc>
        <w:tc>
          <w:tcPr>
            <w:tcW w:w="3312" w:type="dxa"/>
            <w:vAlign w:val="center"/>
          </w:tcPr>
          <w:p w14:paraId="77BE4140" w14:textId="77777777" w:rsidR="00141F59" w:rsidRDefault="0006039A">
            <w:r>
              <w:rPr>
                <w:sz w:val="17"/>
              </w:rPr>
              <w:t>Forecast</w:t>
            </w:r>
          </w:p>
        </w:tc>
        <w:tc>
          <w:tcPr>
            <w:tcW w:w="3312" w:type="dxa"/>
            <w:vAlign w:val="center"/>
          </w:tcPr>
          <w:p w14:paraId="58DA216B" w14:textId="77777777" w:rsidR="00141F59" w:rsidRDefault="0006039A">
            <w:r>
              <w:rPr>
                <w:sz w:val="17"/>
              </w:rPr>
              <w:t xml:space="preserve">Estimate the projected </w:t>
            </w:r>
            <w:r>
              <w:rPr>
                <w:sz w:val="17"/>
              </w:rPr>
              <w:t>balance through June 30.</w:t>
            </w:r>
          </w:p>
        </w:tc>
      </w:tr>
      <w:tr w:rsidR="00141F59" w14:paraId="29E62988" w14:textId="77777777">
        <w:trPr>
          <w:jc w:val="center"/>
        </w:trPr>
        <w:tc>
          <w:tcPr>
            <w:tcW w:w="3312" w:type="dxa"/>
            <w:shd w:val="clear" w:color="auto" w:fill="F7F9FC"/>
            <w:vAlign w:val="center"/>
          </w:tcPr>
          <w:p w14:paraId="2E932F98" w14:textId="77777777" w:rsidR="00141F59" w:rsidRDefault="0006039A">
            <w:r>
              <w:rPr>
                <w:sz w:val="17"/>
              </w:rPr>
              <w:t>8</w:t>
            </w:r>
          </w:p>
        </w:tc>
        <w:tc>
          <w:tcPr>
            <w:tcW w:w="3312" w:type="dxa"/>
            <w:shd w:val="clear" w:color="auto" w:fill="F7F9FC"/>
            <w:vAlign w:val="center"/>
          </w:tcPr>
          <w:p w14:paraId="5F95B841" w14:textId="77777777" w:rsidR="00141F59" w:rsidRDefault="0006039A">
            <w:r>
              <w:rPr>
                <w:sz w:val="17"/>
              </w:rPr>
              <w:t>Corrections</w:t>
            </w:r>
          </w:p>
        </w:tc>
        <w:tc>
          <w:tcPr>
            <w:tcW w:w="3312" w:type="dxa"/>
            <w:shd w:val="clear" w:color="auto" w:fill="F7F9FC"/>
            <w:vAlign w:val="center"/>
          </w:tcPr>
          <w:p w14:paraId="0DCA6DE2" w14:textId="77777777" w:rsidR="00141F59" w:rsidRDefault="0006039A">
            <w:r>
              <w:rPr>
                <w:sz w:val="17"/>
              </w:rPr>
              <w:t>Submit necessary expenditure corrections or budget actions promptly.</w:t>
            </w:r>
          </w:p>
        </w:tc>
      </w:tr>
      <w:tr w:rsidR="00141F59" w14:paraId="1015B63C" w14:textId="77777777">
        <w:trPr>
          <w:jc w:val="center"/>
        </w:trPr>
        <w:tc>
          <w:tcPr>
            <w:tcW w:w="3312" w:type="dxa"/>
            <w:vAlign w:val="center"/>
          </w:tcPr>
          <w:p w14:paraId="7DD4033F" w14:textId="2E5D9591" w:rsidR="00141F59" w:rsidRDefault="00141F59"/>
        </w:tc>
        <w:tc>
          <w:tcPr>
            <w:tcW w:w="3312" w:type="dxa"/>
            <w:vAlign w:val="center"/>
          </w:tcPr>
          <w:p w14:paraId="498D749B" w14:textId="5A59494B" w:rsidR="00141F59" w:rsidRDefault="00141F59"/>
        </w:tc>
        <w:tc>
          <w:tcPr>
            <w:tcW w:w="3312" w:type="dxa"/>
            <w:vAlign w:val="center"/>
          </w:tcPr>
          <w:p w14:paraId="52BF4DBA" w14:textId="26EC828E" w:rsidR="00141F59" w:rsidRDefault="00141F59"/>
        </w:tc>
      </w:tr>
    </w:tbl>
    <w:p w14:paraId="2BFCD139" w14:textId="77777777" w:rsidR="00141F59" w:rsidRDefault="00141F59">
      <w:pPr>
        <w:spacing w:after="40"/>
      </w:pPr>
    </w:p>
    <w:p w14:paraId="1CF33EBE" w14:textId="77777777" w:rsidR="00141F59" w:rsidRDefault="0006039A">
      <w:pPr>
        <w:pStyle w:val="Heading1"/>
      </w:pPr>
      <w:r>
        <w:t>6. Transaction Review and Reconciliation</w:t>
      </w:r>
    </w:p>
    <w:p w14:paraId="3ABAB9FE" w14:textId="77777777" w:rsidR="00141F59" w:rsidRDefault="0006039A">
      <w:r>
        <w:t>Transaction review should answer three basic questions: Is it ours? Is it coded correctly? Is it allowable?</w:t>
      </w:r>
    </w:p>
    <w:p w14:paraId="287E1D3E" w14:textId="77777777" w:rsidR="00141F59" w:rsidRDefault="0006039A">
      <w:pPr>
        <w:pStyle w:val="ListBullet"/>
      </w:pPr>
      <w:r>
        <w:t>Review document number, transaction date, description, amount, account, and other FOAPAL elements.</w:t>
      </w:r>
    </w:p>
    <w:p w14:paraId="09349072" w14:textId="77777777" w:rsidR="00141F59" w:rsidRDefault="0006039A">
      <w:pPr>
        <w:pStyle w:val="ListBullet"/>
      </w:pPr>
      <w:r>
        <w:t>Investigate unfamiliar vendors, journal entries, payroll charges, transfers, credits, and unusually large or round-dollar transactions.</w:t>
      </w:r>
    </w:p>
    <w:p w14:paraId="40960C61" w14:textId="77777777" w:rsidR="00141F59" w:rsidRDefault="0006039A">
      <w:pPr>
        <w:pStyle w:val="ListBullet"/>
      </w:pPr>
      <w:r>
        <w:t>Verify that PCard and travel activity ultimately posts to the intended funding source and account classification.</w:t>
      </w:r>
    </w:p>
    <w:p w14:paraId="5765AA19" w14:textId="77777777" w:rsidR="00141F59" w:rsidRDefault="0006039A">
      <w:pPr>
        <w:pStyle w:val="ListBullet"/>
      </w:pPr>
      <w:r>
        <w:t>Do not correct a valid charge merely because another budget has more money.</w:t>
      </w:r>
    </w:p>
    <w:p w14:paraId="723B5825" w14:textId="77777777" w:rsidR="00141F59" w:rsidRDefault="0006039A">
      <w:pPr>
        <w:pStyle w:val="ListBullet"/>
      </w:pPr>
      <w:r>
        <w:t>Use the institution's established process for expenditure transfers and retain the business purpose for the correction.</w:t>
      </w:r>
    </w:p>
    <w:tbl>
      <w:tblPr>
        <w:tblW w:w="0" w:type="auto"/>
        <w:jc w:val="center"/>
        <w:tblLook w:val="04A0" w:firstRow="1" w:lastRow="0" w:firstColumn="1" w:lastColumn="0" w:noHBand="0" w:noVBand="1"/>
      </w:tblPr>
      <w:tblGrid>
        <w:gridCol w:w="9936"/>
      </w:tblGrid>
      <w:tr w:rsidR="00141F59" w14:paraId="5A75DE4A" w14:textId="77777777">
        <w:trPr>
          <w:jc w:val="center"/>
        </w:trPr>
        <w:tc>
          <w:tcPr>
            <w:tcW w:w="9936" w:type="dxa"/>
            <w:shd w:val="clear" w:color="auto" w:fill="D9EAF7"/>
          </w:tcPr>
          <w:p w14:paraId="69B18630" w14:textId="77777777" w:rsidR="00141F59" w:rsidRDefault="0006039A">
            <w:r>
              <w:rPr>
                <w:b/>
                <w:color w:val="17365D"/>
              </w:rPr>
              <w:t>TIMELINESS</w:t>
            </w:r>
            <w:r>
              <w:rPr>
                <w:b/>
                <w:color w:val="17365D"/>
              </w:rPr>
              <w:br/>
            </w:r>
            <w:r>
              <w:rPr>
                <w:sz w:val="19"/>
              </w:rPr>
              <w:t>Corrections should be requested as soon as an error is identified. Delayed transfers increase audit risk, make management reports less useful, and can create problems near fiscal year-end.</w:t>
            </w:r>
          </w:p>
        </w:tc>
      </w:tr>
    </w:tbl>
    <w:p w14:paraId="76DDAA93" w14:textId="77777777" w:rsidR="00141F59" w:rsidRDefault="00141F59">
      <w:pPr>
        <w:spacing w:after="20"/>
      </w:pPr>
    </w:p>
    <w:p w14:paraId="30E5C69C" w14:textId="77777777" w:rsidR="00141F59" w:rsidRDefault="0006039A">
      <w:pPr>
        <w:pStyle w:val="Heading1"/>
      </w:pPr>
      <w:r>
        <w:t>7. Encumbrances and Purchase Orders</w:t>
      </w:r>
    </w:p>
    <w:p w14:paraId="7A01163A" w14:textId="77777777" w:rsidR="00141F59" w:rsidRDefault="0006039A">
      <w:r>
        <w:t>An encumbrance represents a commitment against budget. An old or overstated encumbrance can make available budget look artificially low; a missing commitment can make it look artificially high.</w:t>
      </w:r>
    </w:p>
    <w:p w14:paraId="16BE9AD2" w14:textId="77777777" w:rsidR="00141F59" w:rsidRDefault="0006039A">
      <w:pPr>
        <w:pStyle w:val="ListBullet"/>
      </w:pPr>
      <w:r>
        <w:t>Review open purchase orders at least monthly.</w:t>
      </w:r>
    </w:p>
    <w:p w14:paraId="2946258F" w14:textId="77777777" w:rsidR="00141F59" w:rsidRDefault="0006039A">
      <w:pPr>
        <w:pStyle w:val="ListBullet"/>
      </w:pPr>
      <w:r>
        <w:t>Confirm whether goods or services have been received and whether invoices are pending.</w:t>
      </w:r>
    </w:p>
    <w:p w14:paraId="031BAC6E" w14:textId="77777777" w:rsidR="00141F59" w:rsidRDefault="0006039A">
      <w:pPr>
        <w:pStyle w:val="ListBullet"/>
      </w:pPr>
      <w:r>
        <w:t>Identify completed, cancelled, or duplicate commitments that should be closed or liquidated under institutional procedures.</w:t>
      </w:r>
    </w:p>
    <w:p w14:paraId="57B2A464" w14:textId="77777777" w:rsidR="00141F59" w:rsidRDefault="0006039A">
      <w:pPr>
        <w:pStyle w:val="ListBullet"/>
      </w:pPr>
      <w:r>
        <w:t>Investigate partially liquidated purchase orders when the remaining balance is no longer expected to be used.</w:t>
      </w:r>
    </w:p>
    <w:p w14:paraId="7B598584" w14:textId="77777777" w:rsidR="00141F59" w:rsidRDefault="0006039A">
      <w:pPr>
        <w:pStyle w:val="ListBullet"/>
      </w:pPr>
      <w:r>
        <w:t>Coordinate with Purchasing or Accounts Payable rather than attempting to bypass the purchasing process.</w:t>
      </w:r>
    </w:p>
    <w:p w14:paraId="34640D18" w14:textId="77777777" w:rsidR="00141F59" w:rsidRDefault="0006039A">
      <w:pPr>
        <w:pStyle w:val="Heading1"/>
      </w:pPr>
      <w:r>
        <w:t>8. Payroll and Personnel Costs</w:t>
      </w:r>
    </w:p>
    <w:p w14:paraId="7D571A2C" w14:textId="77777777" w:rsidR="00141F59" w:rsidRDefault="0006039A">
      <w:r>
        <w:t>Payroll is often the largest component of a university budget. A department can appear to have a large available balance early in the year simply because future payroll has not yet posted.</w:t>
      </w:r>
    </w:p>
    <w:p w14:paraId="6287D1E2" w14:textId="02AA9E7A" w:rsidR="009668A7" w:rsidRDefault="009668A7">
      <w:r>
        <w:t xml:space="preserve">After each payroll is processed, Payroll provides each budget manager with a report detailing the payroll expenses charged to their budget for that pay period. Budget managers should review these reports and use them to </w:t>
      </w:r>
      <w:r>
        <w:rPr>
          <w:rStyle w:val="Strong"/>
        </w:rPr>
        <w:t>reconcile salary, wage, and student worker expenses to their budgets</w:t>
      </w:r>
      <w:r>
        <w:t>, verify that payroll charges are accurate, and promptly report any discrepancies.</w:t>
      </w:r>
    </w:p>
    <w:p w14:paraId="1193FCA1" w14:textId="77777777" w:rsidR="00141F59" w:rsidRDefault="0006039A">
      <w:pPr>
        <w:pStyle w:val="ListBullet"/>
      </w:pPr>
      <w:r>
        <w:t>Compare salary activity to authorized positions and expected pay.</w:t>
      </w:r>
    </w:p>
    <w:p w14:paraId="754F5CAA" w14:textId="77777777" w:rsidR="00141F59" w:rsidRDefault="0006039A">
      <w:pPr>
        <w:pStyle w:val="ListBullet"/>
      </w:pPr>
      <w:r>
        <w:t>Consider fringe benefits when forecasting personnel costs.</w:t>
      </w:r>
    </w:p>
    <w:p w14:paraId="032F0DC6" w14:textId="23CC9C24" w:rsidR="00141F59" w:rsidRDefault="0006039A" w:rsidP="009668A7">
      <w:pPr>
        <w:pStyle w:val="ListBullet"/>
      </w:pPr>
      <w:r>
        <w:t>Review new hires, vacancies, terminations, supplemental pay, overloads, and position changes.</w:t>
      </w:r>
    </w:p>
    <w:p w14:paraId="3F300A3F" w14:textId="77777777" w:rsidR="00141F59" w:rsidRDefault="0006039A">
      <w:pPr>
        <w:pStyle w:val="ListBullet"/>
      </w:pPr>
      <w:r>
        <w:t>Investigate payroll charged to an unexpected fund, organization, account, or program.</w:t>
      </w:r>
    </w:p>
    <w:p w14:paraId="3105E365" w14:textId="77777777" w:rsidR="00141F59" w:rsidRDefault="0006039A">
      <w:pPr>
        <w:pStyle w:val="ListBullet"/>
      </w:pPr>
      <w:r>
        <w:t xml:space="preserve">Consider the timing of nine-month, twelve-month, summer, and </w:t>
      </w:r>
      <w:r>
        <w:t>other payroll arrangements applicable to the institution.</w:t>
      </w:r>
    </w:p>
    <w:p w14:paraId="49F17661" w14:textId="77777777" w:rsidR="00141F59" w:rsidRDefault="0006039A">
      <w:pPr>
        <w:pStyle w:val="Heading1"/>
      </w:pPr>
      <w:r>
        <w:t>9. Revenue Monitoring</w:t>
      </w:r>
    </w:p>
    <w:p w14:paraId="4F57352A" w14:textId="77777777" w:rsidR="00141F59" w:rsidRDefault="0006039A">
      <w:r>
        <w:t>Departments responsible for generating revenue should monitor collections as carefully as expenditures. A budgeted revenue amount is an expectation, not a guarantee.</w:t>
      </w:r>
    </w:p>
    <w:p w14:paraId="5F9F6280" w14:textId="77777777" w:rsidR="00141F59" w:rsidRDefault="0006039A">
      <w:pPr>
        <w:pStyle w:val="ListBullet"/>
      </w:pPr>
      <w:r>
        <w:t>Compare actual revenue to the approved budget and to the same point in prior periods when useful.</w:t>
      </w:r>
    </w:p>
    <w:p w14:paraId="0092A4F7" w14:textId="5FC9CF36" w:rsidR="00141F59" w:rsidRDefault="0006039A">
      <w:pPr>
        <w:pStyle w:val="ListBullet"/>
      </w:pPr>
      <w:r>
        <w:t>Consider enrollment, participation, sales, fee collections, grant reimbursement timing, or other drivers of revenue.</w:t>
      </w:r>
      <w:r w:rsidR="00470D11">
        <w:t xml:space="preserve">  If revenue collected (</w:t>
      </w:r>
      <w:proofErr w:type="spellStart"/>
      <w:r w:rsidR="00470D11">
        <w:t>ie</w:t>
      </w:r>
      <w:proofErr w:type="spellEnd"/>
      <w:r w:rsidR="00470D11">
        <w:t>- course fees) is available for use your budget will be adjusted accordingly.</w:t>
      </w:r>
    </w:p>
    <w:p w14:paraId="14CF50C1" w14:textId="77777777" w:rsidR="00141F59" w:rsidRDefault="0006039A">
      <w:pPr>
        <w:pStyle w:val="ListBullet"/>
      </w:pPr>
      <w:r>
        <w:t>Do not increase spending solely because revenue was budgeted if collections are materially below expectations.</w:t>
      </w:r>
    </w:p>
    <w:p w14:paraId="7059B85B" w14:textId="77777777" w:rsidR="00141F59" w:rsidRDefault="0006039A">
      <w:pPr>
        <w:pStyle w:val="ListBullet"/>
      </w:pPr>
      <w:r>
        <w:t>Coordinate with central offices when revenue appears miscoded or when a shortfall may affect spending authority.</w:t>
      </w:r>
    </w:p>
    <w:p w14:paraId="3D0261E6" w14:textId="77777777" w:rsidR="00141F59" w:rsidRDefault="0006039A">
      <w:pPr>
        <w:pStyle w:val="Heading1"/>
      </w:pPr>
      <w:r>
        <w:t>10. Budget Transfers and Expenditure Corrections</w:t>
      </w:r>
    </w:p>
    <w:tbl>
      <w:tblPr>
        <w:tblStyle w:val="TableGrid"/>
        <w:tblW w:w="0" w:type="auto"/>
        <w:jc w:val="center"/>
        <w:tblLook w:val="04A0" w:firstRow="1" w:lastRow="0" w:firstColumn="1" w:lastColumn="0" w:noHBand="0" w:noVBand="1"/>
      </w:tblPr>
      <w:tblGrid>
        <w:gridCol w:w="4962"/>
        <w:gridCol w:w="4964"/>
      </w:tblGrid>
      <w:tr w:rsidR="00141F59" w14:paraId="3CC08E1C" w14:textId="77777777">
        <w:trPr>
          <w:jc w:val="center"/>
        </w:trPr>
        <w:tc>
          <w:tcPr>
            <w:tcW w:w="4968" w:type="dxa"/>
            <w:shd w:val="clear" w:color="auto" w:fill="17365D"/>
            <w:vAlign w:val="center"/>
          </w:tcPr>
          <w:p w14:paraId="1F7286E7" w14:textId="77777777" w:rsidR="00141F59" w:rsidRDefault="0006039A">
            <w:r>
              <w:rPr>
                <w:b/>
                <w:color w:val="FFFFFF"/>
                <w:sz w:val="18"/>
              </w:rPr>
              <w:t>Situation</w:t>
            </w:r>
          </w:p>
        </w:tc>
        <w:tc>
          <w:tcPr>
            <w:tcW w:w="4968" w:type="dxa"/>
            <w:shd w:val="clear" w:color="auto" w:fill="17365D"/>
            <w:vAlign w:val="center"/>
          </w:tcPr>
          <w:p w14:paraId="07AE174D" w14:textId="77777777" w:rsidR="00141F59" w:rsidRDefault="0006039A">
            <w:r>
              <w:rPr>
                <w:b/>
                <w:color w:val="FFFFFF"/>
                <w:sz w:val="18"/>
              </w:rPr>
              <w:t>Typical response</w:t>
            </w:r>
          </w:p>
        </w:tc>
      </w:tr>
      <w:tr w:rsidR="00141F59" w14:paraId="40AFD1DD" w14:textId="77777777">
        <w:trPr>
          <w:jc w:val="center"/>
        </w:trPr>
        <w:tc>
          <w:tcPr>
            <w:tcW w:w="4968" w:type="dxa"/>
            <w:vAlign w:val="center"/>
          </w:tcPr>
          <w:p w14:paraId="4218974C" w14:textId="77777777" w:rsidR="00141F59" w:rsidRDefault="0006039A">
            <w:r>
              <w:rPr>
                <w:sz w:val="17"/>
              </w:rPr>
              <w:t>The budget is in the wrong place</w:t>
            </w:r>
          </w:p>
        </w:tc>
        <w:tc>
          <w:tcPr>
            <w:tcW w:w="4968" w:type="dxa"/>
            <w:vAlign w:val="center"/>
          </w:tcPr>
          <w:p w14:paraId="44711141" w14:textId="4546BED4" w:rsidR="00141F59" w:rsidRDefault="0006039A">
            <w:r>
              <w:rPr>
                <w:sz w:val="17"/>
              </w:rPr>
              <w:t>Use the institution's approved budget-transfer process, if permitted.</w:t>
            </w:r>
            <w:r w:rsidR="000A7C4A">
              <w:rPr>
                <w:sz w:val="17"/>
              </w:rPr>
              <w:t xml:space="preserve"> </w:t>
            </w:r>
            <w:r w:rsidR="000A7C4A" w:rsidRPr="000A7C4A">
              <w:rPr>
                <w:b/>
                <w:bCs/>
                <w:sz w:val="17"/>
              </w:rPr>
              <w:t>(Budget Adjustment/Budget Transfer Form)</w:t>
            </w:r>
          </w:p>
        </w:tc>
      </w:tr>
      <w:tr w:rsidR="00141F59" w14:paraId="150EC62A" w14:textId="77777777">
        <w:trPr>
          <w:jc w:val="center"/>
        </w:trPr>
        <w:tc>
          <w:tcPr>
            <w:tcW w:w="4968" w:type="dxa"/>
            <w:shd w:val="clear" w:color="auto" w:fill="F7F9FC"/>
            <w:vAlign w:val="center"/>
          </w:tcPr>
          <w:p w14:paraId="3412F0AA" w14:textId="77777777" w:rsidR="00141F59" w:rsidRDefault="0006039A">
            <w:r>
              <w:rPr>
                <w:sz w:val="17"/>
              </w:rPr>
              <w:t>The expenditure was charged to the wrong FOAPAL</w:t>
            </w:r>
          </w:p>
        </w:tc>
        <w:tc>
          <w:tcPr>
            <w:tcW w:w="4968" w:type="dxa"/>
            <w:shd w:val="clear" w:color="auto" w:fill="F7F9FC"/>
            <w:vAlign w:val="center"/>
          </w:tcPr>
          <w:p w14:paraId="55A77A61" w14:textId="6DCED147" w:rsidR="00141F59" w:rsidRDefault="0006039A">
            <w:r>
              <w:rPr>
                <w:sz w:val="17"/>
              </w:rPr>
              <w:t>Request an expenditure/accounting correction with appropriate justification and support.</w:t>
            </w:r>
            <w:r w:rsidR="000A7C4A">
              <w:rPr>
                <w:sz w:val="17"/>
              </w:rPr>
              <w:t xml:space="preserve"> </w:t>
            </w:r>
            <w:r w:rsidR="000A7C4A" w:rsidRPr="000A7C4A">
              <w:rPr>
                <w:b/>
                <w:bCs/>
                <w:sz w:val="17"/>
              </w:rPr>
              <w:t>(Budget Correction Form)</w:t>
            </w:r>
          </w:p>
        </w:tc>
      </w:tr>
      <w:tr w:rsidR="00141F59" w14:paraId="5C61D34C" w14:textId="77777777">
        <w:trPr>
          <w:jc w:val="center"/>
        </w:trPr>
        <w:tc>
          <w:tcPr>
            <w:tcW w:w="4968" w:type="dxa"/>
            <w:vAlign w:val="center"/>
          </w:tcPr>
          <w:p w14:paraId="72D4F473" w14:textId="77777777" w:rsidR="00141F59" w:rsidRDefault="0006039A">
            <w:r>
              <w:rPr>
                <w:sz w:val="17"/>
              </w:rPr>
              <w:t xml:space="preserve">The </w:t>
            </w:r>
            <w:r>
              <w:rPr>
                <w:sz w:val="17"/>
              </w:rPr>
              <w:t>expenditure is correctly charged but creates a deficit</w:t>
            </w:r>
          </w:p>
        </w:tc>
        <w:tc>
          <w:tcPr>
            <w:tcW w:w="4968" w:type="dxa"/>
            <w:vAlign w:val="center"/>
          </w:tcPr>
          <w:p w14:paraId="6EB2CCA5" w14:textId="229E6AD5" w:rsidR="00141F59" w:rsidRDefault="0006039A">
            <w:r>
              <w:rPr>
                <w:sz w:val="17"/>
              </w:rPr>
              <w:t>Do not move it merely to hide the deficit; identify a legitimate funding solution and obtain required approvals.</w:t>
            </w:r>
            <w:r w:rsidR="000A7C4A" w:rsidRPr="000A7C4A">
              <w:rPr>
                <w:b/>
                <w:bCs/>
                <w:sz w:val="17"/>
              </w:rPr>
              <w:t xml:space="preserve"> </w:t>
            </w:r>
            <w:r w:rsidR="000A7C4A" w:rsidRPr="000A7C4A">
              <w:rPr>
                <w:b/>
                <w:bCs/>
                <w:sz w:val="17"/>
              </w:rPr>
              <w:t>(Budget Adjustment/Budget Transfer Form)</w:t>
            </w:r>
          </w:p>
        </w:tc>
      </w:tr>
      <w:tr w:rsidR="00141F59" w14:paraId="40D4D482" w14:textId="77777777">
        <w:trPr>
          <w:jc w:val="center"/>
        </w:trPr>
        <w:tc>
          <w:tcPr>
            <w:tcW w:w="4968" w:type="dxa"/>
            <w:shd w:val="clear" w:color="auto" w:fill="F7F9FC"/>
            <w:vAlign w:val="center"/>
          </w:tcPr>
          <w:p w14:paraId="2FF3E01B" w14:textId="77777777" w:rsidR="00141F59" w:rsidRDefault="0006039A">
            <w:r>
              <w:rPr>
                <w:sz w:val="17"/>
              </w:rPr>
              <w:t>Restricted funds are involved</w:t>
            </w:r>
          </w:p>
        </w:tc>
        <w:tc>
          <w:tcPr>
            <w:tcW w:w="4968" w:type="dxa"/>
            <w:shd w:val="clear" w:color="auto" w:fill="F7F9FC"/>
            <w:vAlign w:val="center"/>
          </w:tcPr>
          <w:p w14:paraId="39E928F3" w14:textId="77777777" w:rsidR="00141F59" w:rsidRDefault="0006039A">
            <w:r>
              <w:rPr>
                <w:sz w:val="17"/>
              </w:rPr>
              <w:t>Confirm that the transfer or correction is permitted by the funding source before processing.</w:t>
            </w:r>
          </w:p>
        </w:tc>
      </w:tr>
    </w:tbl>
    <w:p w14:paraId="3FE95E16" w14:textId="77777777" w:rsidR="00141F59" w:rsidRDefault="00141F59">
      <w:pPr>
        <w:spacing w:after="40"/>
      </w:pPr>
    </w:p>
    <w:tbl>
      <w:tblPr>
        <w:tblW w:w="0" w:type="auto"/>
        <w:jc w:val="center"/>
        <w:tblLook w:val="04A0" w:firstRow="1" w:lastRow="0" w:firstColumn="1" w:lastColumn="0" w:noHBand="0" w:noVBand="1"/>
      </w:tblPr>
      <w:tblGrid>
        <w:gridCol w:w="9936"/>
      </w:tblGrid>
      <w:tr w:rsidR="00141F59" w14:paraId="6FE9BEE5" w14:textId="77777777">
        <w:trPr>
          <w:jc w:val="center"/>
        </w:trPr>
        <w:tc>
          <w:tcPr>
            <w:tcW w:w="9936" w:type="dxa"/>
            <w:shd w:val="clear" w:color="auto" w:fill="D9EAF7"/>
          </w:tcPr>
          <w:p w14:paraId="76CB4A2E" w14:textId="77777777" w:rsidR="00141F59" w:rsidRDefault="0006039A">
            <w:r>
              <w:rPr>
                <w:b/>
                <w:color w:val="17365D"/>
              </w:rPr>
              <w:t>DOCUMENTATION</w:t>
            </w:r>
            <w:r>
              <w:rPr>
                <w:b/>
                <w:color w:val="17365D"/>
              </w:rPr>
              <w:br/>
            </w:r>
            <w:r>
              <w:rPr>
                <w:sz w:val="19"/>
              </w:rPr>
              <w:t>A correction should explain why the original charge was incorrect and why the new coding is appropriate. The explanation should be understandable to a reviewer who was not involved in the transaction.</w:t>
            </w:r>
          </w:p>
        </w:tc>
      </w:tr>
    </w:tbl>
    <w:p w14:paraId="754D3E84" w14:textId="77777777" w:rsidR="00141F59" w:rsidRDefault="00141F59">
      <w:pPr>
        <w:spacing w:after="20"/>
      </w:pPr>
    </w:p>
    <w:p w14:paraId="2F643A60" w14:textId="5C1F3FA7" w:rsidR="00141F59" w:rsidRDefault="0006039A">
      <w:pPr>
        <w:pStyle w:val="Heading1"/>
      </w:pPr>
      <w:r>
        <w:t>11. Restricted, Auxiliary, Grant</w:t>
      </w:r>
      <w:r>
        <w:t xml:space="preserve"> and Fee Funds</w:t>
      </w:r>
    </w:p>
    <w:p w14:paraId="3320486C" w14:textId="77777777" w:rsidR="00141F59" w:rsidRDefault="0006039A">
      <w:r>
        <w:t>Different funding sources can carry different legal, contractual, grant, fee, or institutional restrictions.</w:t>
      </w:r>
    </w:p>
    <w:p w14:paraId="78871F03" w14:textId="77777777" w:rsidR="00141F59" w:rsidRDefault="0006039A">
      <w:pPr>
        <w:pStyle w:val="ListBullet"/>
      </w:pPr>
      <w:r>
        <w:t>General/appropriated resources: monitor against institutional and state spending authority and university policy.</w:t>
      </w:r>
    </w:p>
    <w:p w14:paraId="72BDB6BD" w14:textId="77777777" w:rsidR="00141F59" w:rsidRDefault="0006039A">
      <w:pPr>
        <w:pStyle w:val="ListBullet"/>
      </w:pPr>
      <w:r>
        <w:t>Auxiliary funds: consider the operating purpose of the auxiliary and its revenue-generating responsibilities.</w:t>
      </w:r>
    </w:p>
    <w:p w14:paraId="73186C37" w14:textId="77777777" w:rsidR="00141F59" w:rsidRDefault="0006039A">
      <w:pPr>
        <w:pStyle w:val="ListBullet"/>
      </w:pPr>
      <w:r>
        <w:t>Grants and contracts: follow award terms, approved budget, period of performance, cost principles, and sponsored-program procedures.</w:t>
      </w:r>
    </w:p>
    <w:p w14:paraId="0AFC680E" w14:textId="77777777" w:rsidR="00141F59" w:rsidRDefault="0006039A">
      <w:pPr>
        <w:pStyle w:val="ListBullet"/>
      </w:pPr>
      <w:r>
        <w:t>Student, course, or program fees: spend consistently with the approved purpose and institutional requirements.</w:t>
      </w:r>
    </w:p>
    <w:p w14:paraId="10308E1F" w14:textId="77777777" w:rsidR="00141F59" w:rsidRDefault="0006039A">
      <w:pPr>
        <w:pStyle w:val="ListBullet"/>
      </w:pPr>
      <w:r>
        <w:t>Capital/project funds: monitor project scope, funding source, contracts, and remaining commitments.</w:t>
      </w:r>
    </w:p>
    <w:tbl>
      <w:tblPr>
        <w:tblW w:w="0" w:type="auto"/>
        <w:jc w:val="center"/>
        <w:tblLook w:val="04A0" w:firstRow="1" w:lastRow="0" w:firstColumn="1" w:lastColumn="0" w:noHBand="0" w:noVBand="1"/>
      </w:tblPr>
      <w:tblGrid>
        <w:gridCol w:w="9936"/>
      </w:tblGrid>
      <w:tr w:rsidR="00141F59" w14:paraId="056FEF58" w14:textId="77777777">
        <w:trPr>
          <w:jc w:val="center"/>
        </w:trPr>
        <w:tc>
          <w:tcPr>
            <w:tcW w:w="9936" w:type="dxa"/>
            <w:shd w:val="clear" w:color="auto" w:fill="D9EAF7"/>
          </w:tcPr>
          <w:p w14:paraId="31C8F51C" w14:textId="77777777" w:rsidR="00141F59" w:rsidRDefault="0006039A">
            <w:r>
              <w:rPr>
                <w:b/>
                <w:color w:val="17365D"/>
              </w:rPr>
              <w:t>REMEMBER</w:t>
            </w:r>
            <w:r>
              <w:rPr>
                <w:b/>
                <w:color w:val="17365D"/>
              </w:rPr>
              <w:br/>
            </w:r>
            <w:r>
              <w:rPr>
                <w:sz w:val="19"/>
              </w:rPr>
              <w:t>Budget authority answers 'Is money budgeted?' It does not, by itself, answer 'Is this purchase permitted?'</w:t>
            </w:r>
          </w:p>
        </w:tc>
      </w:tr>
    </w:tbl>
    <w:p w14:paraId="323DB0FA" w14:textId="77777777" w:rsidR="00141F59" w:rsidRDefault="00141F59">
      <w:pPr>
        <w:spacing w:after="20"/>
      </w:pPr>
    </w:p>
    <w:p w14:paraId="03BB2E88" w14:textId="77777777" w:rsidR="00141F59" w:rsidRDefault="0006039A">
      <w:pPr>
        <w:pStyle w:val="Heading1"/>
      </w:pPr>
      <w:r>
        <w:t>12. Forecasting the Year-End Position</w:t>
      </w:r>
    </w:p>
    <w:p w14:paraId="3EF4C45D" w14:textId="77777777" w:rsidR="00141F59" w:rsidRDefault="0006039A">
      <w:r>
        <w:t>A simple forecast is often more useful than a snapshot of the current available balance.</w:t>
      </w:r>
    </w:p>
    <w:tbl>
      <w:tblPr>
        <w:tblStyle w:val="TableGrid"/>
        <w:tblW w:w="0" w:type="auto"/>
        <w:jc w:val="center"/>
        <w:tblLook w:val="04A0" w:firstRow="1" w:lastRow="0" w:firstColumn="1" w:lastColumn="0" w:noHBand="0" w:noVBand="1"/>
      </w:tblPr>
      <w:tblGrid>
        <w:gridCol w:w="4963"/>
        <w:gridCol w:w="4963"/>
      </w:tblGrid>
      <w:tr w:rsidR="00141F59" w14:paraId="00CC8061" w14:textId="77777777">
        <w:trPr>
          <w:jc w:val="center"/>
        </w:trPr>
        <w:tc>
          <w:tcPr>
            <w:tcW w:w="4968" w:type="dxa"/>
            <w:shd w:val="clear" w:color="auto" w:fill="17365D"/>
            <w:vAlign w:val="center"/>
          </w:tcPr>
          <w:p w14:paraId="4F1DFD06" w14:textId="77777777" w:rsidR="00141F59" w:rsidRDefault="0006039A">
            <w:r>
              <w:rPr>
                <w:b/>
                <w:color w:val="FFFFFF"/>
                <w:sz w:val="18"/>
              </w:rPr>
              <w:t>Forecast component</w:t>
            </w:r>
          </w:p>
        </w:tc>
        <w:tc>
          <w:tcPr>
            <w:tcW w:w="4968" w:type="dxa"/>
            <w:shd w:val="clear" w:color="auto" w:fill="17365D"/>
            <w:vAlign w:val="center"/>
          </w:tcPr>
          <w:p w14:paraId="4C80B5D5" w14:textId="77777777" w:rsidR="00141F59" w:rsidRDefault="0006039A">
            <w:r>
              <w:rPr>
                <w:b/>
                <w:color w:val="FFFFFF"/>
                <w:sz w:val="18"/>
              </w:rPr>
              <w:t>Example</w:t>
            </w:r>
          </w:p>
        </w:tc>
      </w:tr>
      <w:tr w:rsidR="00141F59" w14:paraId="61EF3657" w14:textId="77777777">
        <w:trPr>
          <w:jc w:val="center"/>
        </w:trPr>
        <w:tc>
          <w:tcPr>
            <w:tcW w:w="4968" w:type="dxa"/>
            <w:vAlign w:val="center"/>
          </w:tcPr>
          <w:p w14:paraId="4065AE1A" w14:textId="77777777" w:rsidR="00141F59" w:rsidRDefault="0006039A">
            <w:r>
              <w:rPr>
                <w:sz w:val="17"/>
              </w:rPr>
              <w:t>Banner available balance</w:t>
            </w:r>
          </w:p>
        </w:tc>
        <w:tc>
          <w:tcPr>
            <w:tcW w:w="4968" w:type="dxa"/>
            <w:vAlign w:val="center"/>
          </w:tcPr>
          <w:p w14:paraId="17D50360" w14:textId="77777777" w:rsidR="00141F59" w:rsidRDefault="0006039A">
            <w:r>
              <w:rPr>
                <w:sz w:val="17"/>
              </w:rPr>
              <w:t>$50,000</w:t>
            </w:r>
          </w:p>
        </w:tc>
      </w:tr>
      <w:tr w:rsidR="00141F59" w14:paraId="403B06B1" w14:textId="77777777">
        <w:trPr>
          <w:jc w:val="center"/>
        </w:trPr>
        <w:tc>
          <w:tcPr>
            <w:tcW w:w="4968" w:type="dxa"/>
            <w:shd w:val="clear" w:color="auto" w:fill="F7F9FC"/>
            <w:vAlign w:val="center"/>
          </w:tcPr>
          <w:p w14:paraId="310497D9" w14:textId="77777777" w:rsidR="00141F59" w:rsidRDefault="0006039A">
            <w:r>
              <w:rPr>
                <w:sz w:val="17"/>
              </w:rPr>
              <w:t>Remaining payroll and fringe</w:t>
            </w:r>
          </w:p>
        </w:tc>
        <w:tc>
          <w:tcPr>
            <w:tcW w:w="4968" w:type="dxa"/>
            <w:shd w:val="clear" w:color="auto" w:fill="F7F9FC"/>
            <w:vAlign w:val="center"/>
          </w:tcPr>
          <w:p w14:paraId="18423D6C" w14:textId="77777777" w:rsidR="00141F59" w:rsidRDefault="0006039A">
            <w:r>
              <w:rPr>
                <w:sz w:val="17"/>
              </w:rPr>
              <w:t>($20,000)</w:t>
            </w:r>
          </w:p>
        </w:tc>
      </w:tr>
      <w:tr w:rsidR="00141F59" w14:paraId="0A83A893" w14:textId="77777777">
        <w:trPr>
          <w:jc w:val="center"/>
        </w:trPr>
        <w:tc>
          <w:tcPr>
            <w:tcW w:w="4968" w:type="dxa"/>
            <w:vAlign w:val="center"/>
          </w:tcPr>
          <w:p w14:paraId="337C7F74" w14:textId="77777777" w:rsidR="00141F59" w:rsidRDefault="0006039A">
            <w:r>
              <w:rPr>
                <w:sz w:val="17"/>
              </w:rPr>
              <w:t>Open/expected contracts and utilities</w:t>
            </w:r>
          </w:p>
        </w:tc>
        <w:tc>
          <w:tcPr>
            <w:tcW w:w="4968" w:type="dxa"/>
            <w:vAlign w:val="center"/>
          </w:tcPr>
          <w:p w14:paraId="4A326619" w14:textId="77777777" w:rsidR="00141F59" w:rsidRDefault="0006039A">
            <w:r>
              <w:rPr>
                <w:sz w:val="17"/>
              </w:rPr>
              <w:t>($8,000)</w:t>
            </w:r>
          </w:p>
        </w:tc>
      </w:tr>
      <w:tr w:rsidR="00141F59" w14:paraId="523AC2BF" w14:textId="77777777">
        <w:trPr>
          <w:jc w:val="center"/>
        </w:trPr>
        <w:tc>
          <w:tcPr>
            <w:tcW w:w="4968" w:type="dxa"/>
            <w:shd w:val="clear" w:color="auto" w:fill="F7F9FC"/>
            <w:vAlign w:val="center"/>
          </w:tcPr>
          <w:p w14:paraId="77E6BA8F" w14:textId="77777777" w:rsidR="00141F59" w:rsidRDefault="0006039A">
            <w:r>
              <w:rPr>
                <w:sz w:val="17"/>
              </w:rPr>
              <w:t>Approved purchases not yet reflected</w:t>
            </w:r>
          </w:p>
        </w:tc>
        <w:tc>
          <w:tcPr>
            <w:tcW w:w="4968" w:type="dxa"/>
            <w:shd w:val="clear" w:color="auto" w:fill="F7F9FC"/>
            <w:vAlign w:val="center"/>
          </w:tcPr>
          <w:p w14:paraId="698FF1C3" w14:textId="77777777" w:rsidR="00141F59" w:rsidRDefault="0006039A">
            <w:r>
              <w:rPr>
                <w:sz w:val="17"/>
              </w:rPr>
              <w:t>($5,000)</w:t>
            </w:r>
          </w:p>
        </w:tc>
      </w:tr>
      <w:tr w:rsidR="00141F59" w14:paraId="09FEE8E6" w14:textId="77777777">
        <w:trPr>
          <w:jc w:val="center"/>
        </w:trPr>
        <w:tc>
          <w:tcPr>
            <w:tcW w:w="4968" w:type="dxa"/>
            <w:vAlign w:val="center"/>
          </w:tcPr>
          <w:p w14:paraId="334DEB5C" w14:textId="77777777" w:rsidR="00141F59" w:rsidRDefault="0006039A">
            <w:r>
              <w:rPr>
                <w:sz w:val="17"/>
              </w:rPr>
              <w:t>Expected additional revenue (use conservatively)</w:t>
            </w:r>
          </w:p>
        </w:tc>
        <w:tc>
          <w:tcPr>
            <w:tcW w:w="4968" w:type="dxa"/>
            <w:vAlign w:val="center"/>
          </w:tcPr>
          <w:p w14:paraId="4F4AF752" w14:textId="77777777" w:rsidR="00141F59" w:rsidRDefault="0006039A">
            <w:r>
              <w:rPr>
                <w:sz w:val="17"/>
              </w:rPr>
              <w:t>$0</w:t>
            </w:r>
          </w:p>
        </w:tc>
      </w:tr>
      <w:tr w:rsidR="00141F59" w14:paraId="749F4885" w14:textId="77777777">
        <w:trPr>
          <w:jc w:val="center"/>
        </w:trPr>
        <w:tc>
          <w:tcPr>
            <w:tcW w:w="4968" w:type="dxa"/>
            <w:shd w:val="clear" w:color="auto" w:fill="F7F9FC"/>
            <w:vAlign w:val="center"/>
          </w:tcPr>
          <w:p w14:paraId="13396672" w14:textId="77777777" w:rsidR="00141F59" w:rsidRDefault="0006039A">
            <w:r>
              <w:rPr>
                <w:sz w:val="17"/>
              </w:rPr>
              <w:t>Projected uncommitted balance</w:t>
            </w:r>
          </w:p>
        </w:tc>
        <w:tc>
          <w:tcPr>
            <w:tcW w:w="4968" w:type="dxa"/>
            <w:shd w:val="clear" w:color="auto" w:fill="F7F9FC"/>
            <w:vAlign w:val="center"/>
          </w:tcPr>
          <w:p w14:paraId="1C1BE14F" w14:textId="77777777" w:rsidR="00141F59" w:rsidRDefault="0006039A">
            <w:r>
              <w:rPr>
                <w:sz w:val="17"/>
              </w:rPr>
              <w:t>$17,000</w:t>
            </w:r>
          </w:p>
        </w:tc>
      </w:tr>
    </w:tbl>
    <w:p w14:paraId="1DAE18B2" w14:textId="77777777" w:rsidR="00141F59" w:rsidRDefault="00141F59">
      <w:pPr>
        <w:spacing w:after="40"/>
      </w:pPr>
    </w:p>
    <w:p w14:paraId="3AF61A3D" w14:textId="77777777" w:rsidR="00141F59" w:rsidRDefault="0006039A">
      <w:pPr>
        <w:pStyle w:val="Heading2"/>
      </w:pPr>
      <w:r>
        <w:t>Recommended forecasting frequency</w:t>
      </w:r>
    </w:p>
    <w:p w14:paraId="0E596B22" w14:textId="77777777" w:rsidR="00141F59" w:rsidRDefault="0006039A">
      <w:pPr>
        <w:pStyle w:val="ListBullet"/>
      </w:pPr>
      <w:r>
        <w:t>Monthly during normal operations.</w:t>
      </w:r>
    </w:p>
    <w:p w14:paraId="176FAA15" w14:textId="77777777" w:rsidR="00141F59" w:rsidRDefault="0006039A">
      <w:pPr>
        <w:pStyle w:val="ListBullet"/>
      </w:pPr>
      <w:r>
        <w:t>More frequently for departments with limited balances, volatile revenue, major projects, or known financial pressure.</w:t>
      </w:r>
    </w:p>
    <w:p w14:paraId="31DC99FB" w14:textId="77777777" w:rsidR="00141F59" w:rsidRDefault="0006039A">
      <w:pPr>
        <w:pStyle w:val="ListBullet"/>
      </w:pPr>
      <w:r>
        <w:t>At least monthly during the final quarter, with increased attention as institutional year-end deadlines approach.</w:t>
      </w:r>
    </w:p>
    <w:p w14:paraId="770C0E6B" w14:textId="77777777" w:rsidR="00141F59" w:rsidRDefault="0006039A">
      <w:pPr>
        <w:pStyle w:val="Heading1"/>
      </w:pPr>
      <w:r>
        <w:t>13. Preventing and Resolving Budget Deficits</w:t>
      </w:r>
    </w:p>
    <w:p w14:paraId="24920FB7" w14:textId="77777777" w:rsidR="00141F59" w:rsidRDefault="0006039A">
      <w:pPr>
        <w:pStyle w:val="ListBullet"/>
      </w:pPr>
      <w:r>
        <w:t>Identify the cause: overspending, revenue shortfall, incorrect coding, unplanned payroll, missing budget, or timing.</w:t>
      </w:r>
    </w:p>
    <w:p w14:paraId="1271A83D" w14:textId="77777777" w:rsidR="00141F59" w:rsidRDefault="0006039A">
      <w:pPr>
        <w:pStyle w:val="ListBullet"/>
      </w:pPr>
      <w:r>
        <w:t>Correct genuine accounting errors promptly.</w:t>
      </w:r>
    </w:p>
    <w:p w14:paraId="2D4FEDF3" w14:textId="77777777" w:rsidR="00141F59" w:rsidRDefault="0006039A">
      <w:pPr>
        <w:pStyle w:val="ListBullet"/>
      </w:pPr>
      <w:r>
        <w:t>Stop or defer discretionary commitments when appropriate.</w:t>
      </w:r>
    </w:p>
    <w:p w14:paraId="6E68492F" w14:textId="77777777" w:rsidR="00141F59" w:rsidRDefault="0006039A">
      <w:pPr>
        <w:pStyle w:val="ListBullet"/>
      </w:pPr>
      <w:r>
        <w:t>Develop a documented funding plan rather than waiting for year-end.</w:t>
      </w:r>
    </w:p>
    <w:p w14:paraId="31CC7BF9" w14:textId="77777777" w:rsidR="00141F59" w:rsidRDefault="0006039A">
      <w:pPr>
        <w:pStyle w:val="ListBullet"/>
      </w:pPr>
      <w:r>
        <w:t>Obtain approvals for legitimate budget transfers or other funding actions.</w:t>
      </w:r>
    </w:p>
    <w:p w14:paraId="0CBCC884" w14:textId="77777777" w:rsidR="00141F59" w:rsidRDefault="0006039A">
      <w:pPr>
        <w:pStyle w:val="ListBullet"/>
      </w:pPr>
      <w:r>
        <w:t>Escalate unresolved or material deficits to the appropriate dean, vice president, Budget Office, or Finance leadership under institutional policy.</w:t>
      </w:r>
    </w:p>
    <w:tbl>
      <w:tblPr>
        <w:tblW w:w="0" w:type="auto"/>
        <w:jc w:val="center"/>
        <w:tblLook w:val="04A0" w:firstRow="1" w:lastRow="0" w:firstColumn="1" w:lastColumn="0" w:noHBand="0" w:noVBand="1"/>
      </w:tblPr>
      <w:tblGrid>
        <w:gridCol w:w="9936"/>
      </w:tblGrid>
      <w:tr w:rsidR="00141F59" w14:paraId="609F9E09" w14:textId="77777777">
        <w:trPr>
          <w:jc w:val="center"/>
        </w:trPr>
        <w:tc>
          <w:tcPr>
            <w:tcW w:w="9936" w:type="dxa"/>
            <w:shd w:val="clear" w:color="auto" w:fill="FFF2CC"/>
          </w:tcPr>
          <w:p w14:paraId="41652740" w14:textId="77777777" w:rsidR="00141F59" w:rsidRDefault="0006039A">
            <w:r>
              <w:rPr>
                <w:b/>
                <w:color w:val="17365D"/>
              </w:rPr>
              <w:t>DO NOT WAIT UNTIL JUNE</w:t>
            </w:r>
            <w:r>
              <w:rPr>
                <w:b/>
                <w:color w:val="17365D"/>
              </w:rPr>
              <w:br/>
            </w:r>
            <w:r>
              <w:rPr>
                <w:sz w:val="19"/>
              </w:rPr>
              <w:t xml:space="preserve">A deficit discovered early can often be managed. A deficit discovered after commitments have been made may leave the institution with fewer </w:t>
            </w:r>
            <w:r>
              <w:rPr>
                <w:sz w:val="19"/>
              </w:rPr>
              <w:t>compliant options.</w:t>
            </w:r>
          </w:p>
        </w:tc>
      </w:tr>
    </w:tbl>
    <w:p w14:paraId="667EACAA" w14:textId="77777777" w:rsidR="00141F59" w:rsidRDefault="00141F59">
      <w:pPr>
        <w:spacing w:after="20"/>
      </w:pPr>
    </w:p>
    <w:p w14:paraId="24B2D717" w14:textId="77777777" w:rsidR="00141F59" w:rsidRDefault="0006039A">
      <w:pPr>
        <w:pStyle w:val="Heading1"/>
      </w:pPr>
      <w:r>
        <w:t>14. Fiscal Year-End</w:t>
      </w:r>
    </w:p>
    <w:p w14:paraId="718BBF1A" w14:textId="77777777" w:rsidR="00673C0D" w:rsidRPr="00673C0D" w:rsidRDefault="00673C0D" w:rsidP="00673C0D">
      <w:pPr>
        <w:keepNext/>
        <w:keepLines/>
        <w:spacing w:before="200" w:after="0"/>
        <w:outlineLvl w:val="1"/>
        <w:rPr>
          <w:rFonts w:asciiTheme="majorHAnsi" w:eastAsiaTheme="majorEastAsia" w:hAnsiTheme="majorHAnsi" w:cstheme="majorBidi"/>
          <w:b/>
          <w:bCs/>
          <w:color w:val="2F5597"/>
          <w:sz w:val="26"/>
          <w:szCs w:val="26"/>
        </w:rPr>
      </w:pPr>
      <w:r w:rsidRPr="00673C0D">
        <w:rPr>
          <w:rFonts w:asciiTheme="majorHAnsi" w:eastAsiaTheme="majorEastAsia" w:hAnsiTheme="majorHAnsi" w:cstheme="majorBidi"/>
          <w:b/>
          <w:bCs/>
          <w:color w:val="2F5597"/>
          <w:sz w:val="26"/>
          <w:szCs w:val="26"/>
        </w:rPr>
        <w:t>Matching Principle and Fiscal-Year Recognition</w:t>
      </w:r>
    </w:p>
    <w:p w14:paraId="192F3DF0" w14:textId="77777777" w:rsidR="00673C0D" w:rsidRPr="00673C0D" w:rsidRDefault="00673C0D" w:rsidP="00673C0D">
      <w:r w:rsidRPr="00673C0D">
        <w:t>Under accrual accounting, revenues and expenses should be recognized in the fiscal year to which they relate. Budget managers should not assume that the fiscal year of the invoice date, purchase order, payment date, or cash receipt automatically determines the proper accounting period. The underlying period in which the goods or services are provided or the revenue is earned is the key consideration.</w:t>
      </w:r>
    </w:p>
    <w:p w14:paraId="4467CC78" w14:textId="77777777" w:rsidR="00673C0D" w:rsidRPr="00673C0D" w:rsidRDefault="00673C0D" w:rsidP="00673C0D">
      <w:r w:rsidRPr="00673C0D">
        <w:rPr>
          <w:b/>
        </w:rPr>
        <w:t xml:space="preserve">Best practice for contracts and subscriptions. </w:t>
      </w:r>
      <w:r w:rsidRPr="00673C0D">
        <w:t>When a contract, license, maintenance agreement, subscription, or similar arrangement covers more than one fiscal year, the cost should be allocated between the applicable fiscal years based on the period of benefit, in accordance with the University's accounting procedures. The portion applicable to the current fiscal year is recognized in the current year, and the portion applicable to a future fiscal year is treated appropriately for that future period.</w:t>
      </w:r>
    </w:p>
    <w:tbl>
      <w:tblPr>
        <w:tblStyle w:val="TableGrid"/>
        <w:tblW w:w="0" w:type="auto"/>
        <w:tblLook w:val="04A0" w:firstRow="1" w:lastRow="0" w:firstColumn="1" w:lastColumn="0" w:noHBand="0" w:noVBand="1"/>
      </w:tblPr>
      <w:tblGrid>
        <w:gridCol w:w="3310"/>
        <w:gridCol w:w="3308"/>
        <w:gridCol w:w="3308"/>
      </w:tblGrid>
      <w:tr w:rsidR="00673C0D" w:rsidRPr="00673C0D" w14:paraId="7D30BF0F" w14:textId="77777777" w:rsidTr="007A1B42">
        <w:tc>
          <w:tcPr>
            <w:tcW w:w="3312" w:type="dxa"/>
            <w:shd w:val="clear" w:color="auto" w:fill="17365D"/>
          </w:tcPr>
          <w:p w14:paraId="5D1BFED8" w14:textId="77777777" w:rsidR="00673C0D" w:rsidRPr="00673C0D" w:rsidRDefault="00673C0D" w:rsidP="00673C0D">
            <w:r w:rsidRPr="00673C0D">
              <w:rPr>
                <w:b/>
                <w:color w:val="FFFFFF"/>
                <w:sz w:val="18"/>
              </w:rPr>
              <w:t>Example</w:t>
            </w:r>
          </w:p>
        </w:tc>
        <w:tc>
          <w:tcPr>
            <w:tcW w:w="3312" w:type="dxa"/>
            <w:shd w:val="clear" w:color="auto" w:fill="17365D"/>
          </w:tcPr>
          <w:p w14:paraId="160C89DA" w14:textId="77777777" w:rsidR="00673C0D" w:rsidRPr="00673C0D" w:rsidRDefault="00673C0D" w:rsidP="00673C0D">
            <w:r w:rsidRPr="00673C0D">
              <w:rPr>
                <w:b/>
                <w:color w:val="FFFFFF"/>
                <w:sz w:val="18"/>
              </w:rPr>
              <w:t>Current Fiscal Year</w:t>
            </w:r>
          </w:p>
        </w:tc>
        <w:tc>
          <w:tcPr>
            <w:tcW w:w="3312" w:type="dxa"/>
            <w:shd w:val="clear" w:color="auto" w:fill="17365D"/>
          </w:tcPr>
          <w:p w14:paraId="7A111A74" w14:textId="77777777" w:rsidR="00673C0D" w:rsidRPr="00673C0D" w:rsidRDefault="00673C0D" w:rsidP="00673C0D">
            <w:r w:rsidRPr="00673C0D">
              <w:rPr>
                <w:b/>
                <w:color w:val="FFFFFF"/>
                <w:sz w:val="18"/>
              </w:rPr>
              <w:t>Next Fiscal Year</w:t>
            </w:r>
          </w:p>
        </w:tc>
      </w:tr>
      <w:tr w:rsidR="00673C0D" w:rsidRPr="00673C0D" w14:paraId="08C4DFFE" w14:textId="77777777" w:rsidTr="007A1B42">
        <w:tc>
          <w:tcPr>
            <w:tcW w:w="3312" w:type="dxa"/>
          </w:tcPr>
          <w:p w14:paraId="521EAA71" w14:textId="77777777" w:rsidR="00673C0D" w:rsidRPr="00673C0D" w:rsidRDefault="00673C0D" w:rsidP="00673C0D">
            <w:r w:rsidRPr="00673C0D">
              <w:t>12-month subscription: Jan. 1-Dec. 31</w:t>
            </w:r>
          </w:p>
        </w:tc>
        <w:tc>
          <w:tcPr>
            <w:tcW w:w="3312" w:type="dxa"/>
          </w:tcPr>
          <w:p w14:paraId="7D7DA4F6" w14:textId="77777777" w:rsidR="00673C0D" w:rsidRPr="00673C0D" w:rsidRDefault="00673C0D" w:rsidP="00673C0D">
            <w:r w:rsidRPr="00673C0D">
              <w:t>Jan. 1-June 30: 6 months</w:t>
            </w:r>
          </w:p>
        </w:tc>
        <w:tc>
          <w:tcPr>
            <w:tcW w:w="3312" w:type="dxa"/>
          </w:tcPr>
          <w:p w14:paraId="582E717E" w14:textId="77777777" w:rsidR="00673C0D" w:rsidRPr="00673C0D" w:rsidRDefault="00673C0D" w:rsidP="00673C0D">
            <w:r w:rsidRPr="00673C0D">
              <w:t>July 1-Dec. 31: 6 months</w:t>
            </w:r>
          </w:p>
        </w:tc>
      </w:tr>
    </w:tbl>
    <w:p w14:paraId="03D1D85C" w14:textId="77777777" w:rsidR="00673C0D" w:rsidRPr="00673C0D" w:rsidRDefault="00673C0D" w:rsidP="00673C0D">
      <w:r w:rsidRPr="00673C0D">
        <w:rPr>
          <w:b/>
        </w:rPr>
        <w:t xml:space="preserve">Budget manager responsibility. </w:t>
      </w:r>
      <w:r w:rsidRPr="00673C0D">
        <w:t>When reviewing year-end activity, identify invoices, contracts, subscriptions, and other transactions that span June 30 and notify Accounting when an amount may require proration, accrual, deferral, or other fiscal-year adjustment. Similarly, revenue should be recorded in the fiscal year in which it is earned, subject to the University's accounting policies.</w:t>
      </w:r>
    </w:p>
    <w:p w14:paraId="24660708" w14:textId="77777777" w:rsidR="00673C0D" w:rsidRPr="00673C0D" w:rsidRDefault="00673C0D" w:rsidP="00673C0D">
      <w:pPr>
        <w:tabs>
          <w:tab w:val="num" w:pos="360"/>
        </w:tabs>
        <w:ind w:left="360" w:hanging="360"/>
        <w:contextualSpacing/>
      </w:pPr>
      <w:r w:rsidRPr="00673C0D">
        <w:t>Review contracts, subscriptions, licenses, maintenance agreements, and similar items that cross fiscal years so the expense is allocated to the proper fiscal year rather than charged entirely to one year merely because of the billing or payment date.</w:t>
      </w:r>
    </w:p>
    <w:p w14:paraId="1392600A" w14:textId="77777777" w:rsidR="00673C0D" w:rsidRPr="00673C0D" w:rsidRDefault="00673C0D" w:rsidP="00673C0D"/>
    <w:p w14:paraId="7BF26551" w14:textId="77777777" w:rsidR="00141F59" w:rsidRDefault="0006039A">
      <w:r>
        <w:t>The institution's annual year-end calendar controls. Budget managers should plan backward from published deadlines.</w:t>
      </w:r>
    </w:p>
    <w:p w14:paraId="1D25DE12" w14:textId="77777777" w:rsidR="00141F59" w:rsidRDefault="0006039A">
      <w:pPr>
        <w:pStyle w:val="ListBullet"/>
      </w:pPr>
      <w:r>
        <w:t>Review outstanding purchase orders and receiving status.</w:t>
      </w:r>
    </w:p>
    <w:p w14:paraId="50C525F0" w14:textId="77777777" w:rsidR="00141F59" w:rsidRDefault="0006039A">
      <w:pPr>
        <w:pStyle w:val="ListBullet"/>
      </w:pPr>
      <w:r>
        <w:t>Submit invoices and payment documentation by established deadlines.</w:t>
      </w:r>
    </w:p>
    <w:p w14:paraId="364D5A61" w14:textId="77777777" w:rsidR="00141F59" w:rsidRDefault="0006039A">
      <w:pPr>
        <w:pStyle w:val="ListBullet"/>
      </w:pPr>
      <w:r>
        <w:t>Complete PCard reconciliation and required documentation.</w:t>
      </w:r>
    </w:p>
    <w:p w14:paraId="50910E2F" w14:textId="77777777" w:rsidR="00141F59" w:rsidRDefault="0006039A">
      <w:pPr>
        <w:pStyle w:val="ListBullet"/>
      </w:pPr>
      <w:r>
        <w:t>Submit travel reimbursements and other outstanding obligations timely.</w:t>
      </w:r>
    </w:p>
    <w:p w14:paraId="67D9FDD5" w14:textId="77777777" w:rsidR="00141F59" w:rsidRDefault="0006039A">
      <w:pPr>
        <w:pStyle w:val="ListBullet"/>
      </w:pPr>
      <w:r>
        <w:t>Review deposits and revenue activity.</w:t>
      </w:r>
    </w:p>
    <w:p w14:paraId="30EBCFA3" w14:textId="77777777" w:rsidR="00141F59" w:rsidRDefault="0006039A">
      <w:pPr>
        <w:pStyle w:val="ListBullet"/>
      </w:pPr>
      <w:r>
        <w:t>Submit approved budget transfers and accounting corrections before cutoff dates.</w:t>
      </w:r>
    </w:p>
    <w:p w14:paraId="61897256" w14:textId="77777777" w:rsidR="00141F59" w:rsidRDefault="0006039A">
      <w:pPr>
        <w:pStyle w:val="ListBullet"/>
      </w:pPr>
      <w:r>
        <w:t>Identify goods or services received before June 30 that may require accrual under university procedures.</w:t>
      </w:r>
    </w:p>
    <w:p w14:paraId="70F42A13" w14:textId="77777777" w:rsidR="00141F59" w:rsidRDefault="0006039A">
      <w:pPr>
        <w:pStyle w:val="ListBullet"/>
      </w:pPr>
      <w:r>
        <w:t>Do not manipulate transaction dates or coding to shift a valid obligation between fiscal years.</w:t>
      </w:r>
    </w:p>
    <w:p w14:paraId="61FF1D20" w14:textId="77777777" w:rsidR="00141F59" w:rsidRDefault="0006039A">
      <w:pPr>
        <w:pStyle w:val="ListBullet"/>
      </w:pPr>
      <w:r>
        <w:t xml:space="preserve">Retain documentation </w:t>
      </w:r>
      <w:r>
        <w:t>supporting the department's final review.</w:t>
      </w:r>
    </w:p>
    <w:p w14:paraId="130D4924" w14:textId="77777777" w:rsidR="00141F59" w:rsidRDefault="0006039A">
      <w:pPr>
        <w:pStyle w:val="Heading1"/>
      </w:pPr>
      <w:r>
        <w:t>15. Mississippi Public-University Compliance Considerations</w:t>
      </w:r>
    </w:p>
    <w:p w14:paraId="7FBBAEDC" w14:textId="77777777" w:rsidR="00141F59" w:rsidRDefault="0006039A">
      <w:r>
        <w:t>Mississippi's public universities operate within a broader public-sector accountability framework. The Mississippi Institutions of Higher Learning Board provides governance and financial oversight of the public university system. Mississippi Department of Finance and Administration resources also address statewide accounting, internal control, procurement, travel, and related fiscal requirements. Applicability can vary by transaction and institution; local university policies and delegated authorities shoul</w:t>
      </w:r>
      <w:r>
        <w:t>d be consulted.</w:t>
      </w:r>
    </w:p>
    <w:p w14:paraId="5E302462" w14:textId="77777777" w:rsidR="00141F59" w:rsidRDefault="0006039A">
      <w:pPr>
        <w:pStyle w:val="ListBullet"/>
      </w:pPr>
      <w:r>
        <w:t>IHL Board policies and bylaws, including applicable financial oversight and institutional governance requirements.</w:t>
      </w:r>
    </w:p>
    <w:p w14:paraId="77F0A42E" w14:textId="77777777" w:rsidR="00141F59" w:rsidRDefault="0006039A">
      <w:pPr>
        <w:pStyle w:val="ListBullet"/>
      </w:pPr>
      <w:r>
        <w:t>Mississippi DFA procurement requirements and statewide contracts where applicable.</w:t>
      </w:r>
    </w:p>
    <w:p w14:paraId="65D77E15" w14:textId="77777777" w:rsidR="00141F59" w:rsidRDefault="0006039A">
      <w:pPr>
        <w:pStyle w:val="ListBullet"/>
      </w:pPr>
      <w:r>
        <w:t>Mississippi DFA travel rules and institutional travel procedures.</w:t>
      </w:r>
    </w:p>
    <w:p w14:paraId="170CD1C2" w14:textId="77777777" w:rsidR="00141F59" w:rsidRDefault="0006039A">
      <w:pPr>
        <w:pStyle w:val="ListBullet"/>
      </w:pPr>
      <w:r>
        <w:t>Applicable state accounting and internal-control guidance.</w:t>
      </w:r>
    </w:p>
    <w:p w14:paraId="61D7C90E" w14:textId="77777777" w:rsidR="00141F59" w:rsidRDefault="0006039A">
      <w:pPr>
        <w:pStyle w:val="ListBullet"/>
      </w:pPr>
      <w:r>
        <w:t>State appropriations and other funds with legislative or statutory restrictions.</w:t>
      </w:r>
    </w:p>
    <w:p w14:paraId="2E49062A" w14:textId="77777777" w:rsidR="00141F59" w:rsidRDefault="0006039A">
      <w:pPr>
        <w:pStyle w:val="ListBullet"/>
      </w:pPr>
      <w:r>
        <w:t>Federal award requirements, funding-source restrictions, bond covenants, and other source-specific requirements when applicable.</w:t>
      </w:r>
    </w:p>
    <w:tbl>
      <w:tblPr>
        <w:tblW w:w="0" w:type="auto"/>
        <w:jc w:val="center"/>
        <w:tblLook w:val="04A0" w:firstRow="1" w:lastRow="0" w:firstColumn="1" w:lastColumn="0" w:noHBand="0" w:noVBand="1"/>
      </w:tblPr>
      <w:tblGrid>
        <w:gridCol w:w="9936"/>
      </w:tblGrid>
      <w:tr w:rsidR="00141F59" w14:paraId="7F3EC62E" w14:textId="77777777">
        <w:trPr>
          <w:jc w:val="center"/>
        </w:trPr>
        <w:tc>
          <w:tcPr>
            <w:tcW w:w="9936" w:type="dxa"/>
            <w:shd w:val="clear" w:color="auto" w:fill="D9EAF7"/>
          </w:tcPr>
          <w:p w14:paraId="427E3833" w14:textId="41139000" w:rsidR="00141F59" w:rsidRDefault="0006039A">
            <w:r>
              <w:rPr>
                <w:b/>
                <w:color w:val="17365D"/>
              </w:rPr>
              <w:t>COMPLIANCE HIERARCHY</w:t>
            </w:r>
            <w:r>
              <w:rPr>
                <w:b/>
                <w:color w:val="17365D"/>
              </w:rPr>
              <w:br/>
            </w:r>
            <w:r>
              <w:rPr>
                <w:sz w:val="19"/>
              </w:rPr>
              <w:t xml:space="preserve">When requirements overlap, budget managers should not decide conflicts independently. </w:t>
            </w:r>
            <w:r>
              <w:rPr>
                <w:sz w:val="19"/>
              </w:rPr>
              <w:t>A transaction may require review by Accounting, Budget, Purchasing, Grants, Travel, Legal, or another responsible office.</w:t>
            </w:r>
          </w:p>
        </w:tc>
      </w:tr>
    </w:tbl>
    <w:p w14:paraId="2645C1C2" w14:textId="77777777" w:rsidR="00141F59" w:rsidRDefault="00141F59">
      <w:pPr>
        <w:spacing w:after="20"/>
      </w:pPr>
    </w:p>
    <w:p w14:paraId="5D26EA72" w14:textId="77777777" w:rsidR="00141F59" w:rsidRDefault="0006039A">
      <w:pPr>
        <w:pStyle w:val="Heading2"/>
      </w:pPr>
      <w:r>
        <w:t>Authoritative resources to keep current</w:t>
      </w:r>
    </w:p>
    <w:p w14:paraId="38FCEF61" w14:textId="77777777" w:rsidR="00141F59" w:rsidRDefault="0006039A">
      <w:r>
        <w:t>Institutions should maintain current links in their local edition to: IHL Policies &amp; Bylaws; the institution's own finance and purchasing policies; Mississippi DFA Procurement Manual; DFA Travel resources; and relevant statewide accounting/internal-control guidance.</w:t>
      </w:r>
    </w:p>
    <w:p w14:paraId="5A783F84" w14:textId="77777777" w:rsidR="00141F59" w:rsidRDefault="0006039A">
      <w:pPr>
        <w:pStyle w:val="Heading1"/>
      </w:pPr>
      <w:r>
        <w:t>16. Monthly Budget Manager Checklist</w:t>
      </w:r>
    </w:p>
    <w:tbl>
      <w:tblPr>
        <w:tblStyle w:val="TableGrid"/>
        <w:tblW w:w="0" w:type="auto"/>
        <w:jc w:val="center"/>
        <w:tblLook w:val="04A0" w:firstRow="1" w:lastRow="0" w:firstColumn="1" w:lastColumn="0" w:noHBand="0" w:noVBand="1"/>
      </w:tblPr>
      <w:tblGrid>
        <w:gridCol w:w="864"/>
        <w:gridCol w:w="8352"/>
      </w:tblGrid>
      <w:tr w:rsidR="00141F59" w14:paraId="26D1638B" w14:textId="77777777">
        <w:trPr>
          <w:jc w:val="center"/>
        </w:trPr>
        <w:tc>
          <w:tcPr>
            <w:tcW w:w="864" w:type="dxa"/>
            <w:shd w:val="clear" w:color="auto" w:fill="17365D"/>
            <w:vAlign w:val="center"/>
          </w:tcPr>
          <w:p w14:paraId="52299EA4" w14:textId="77777777" w:rsidR="00141F59" w:rsidRDefault="0006039A">
            <w:r>
              <w:rPr>
                <w:b/>
                <w:color w:val="FFFFFF"/>
                <w:sz w:val="18"/>
              </w:rPr>
              <w:t>Done</w:t>
            </w:r>
          </w:p>
        </w:tc>
        <w:tc>
          <w:tcPr>
            <w:tcW w:w="8352" w:type="dxa"/>
            <w:shd w:val="clear" w:color="auto" w:fill="17365D"/>
            <w:vAlign w:val="center"/>
          </w:tcPr>
          <w:p w14:paraId="21B7E4CD" w14:textId="77777777" w:rsidR="00141F59" w:rsidRDefault="0006039A">
            <w:r>
              <w:rPr>
                <w:b/>
                <w:color w:val="FFFFFF"/>
                <w:sz w:val="18"/>
              </w:rPr>
              <w:t>Monthly review item</w:t>
            </w:r>
          </w:p>
        </w:tc>
      </w:tr>
      <w:tr w:rsidR="00141F59" w14:paraId="4A1B23A9" w14:textId="77777777">
        <w:trPr>
          <w:jc w:val="center"/>
        </w:trPr>
        <w:tc>
          <w:tcPr>
            <w:tcW w:w="864" w:type="dxa"/>
            <w:vAlign w:val="center"/>
          </w:tcPr>
          <w:p w14:paraId="49E48185" w14:textId="77777777" w:rsidR="00141F59" w:rsidRDefault="0006039A">
            <w:r>
              <w:rPr>
                <w:sz w:val="17"/>
              </w:rPr>
              <w:t>☐</w:t>
            </w:r>
          </w:p>
        </w:tc>
        <w:tc>
          <w:tcPr>
            <w:tcW w:w="8352" w:type="dxa"/>
            <w:vAlign w:val="center"/>
          </w:tcPr>
          <w:p w14:paraId="5E49A3BB" w14:textId="77777777" w:rsidR="00141F59" w:rsidRDefault="0006039A">
            <w:r>
              <w:rPr>
                <w:sz w:val="17"/>
              </w:rPr>
              <w:t>Reviewed FGIBDST or approved budget report for each assigned fund/organization.</w:t>
            </w:r>
          </w:p>
        </w:tc>
      </w:tr>
      <w:tr w:rsidR="00141F59" w14:paraId="36F74058" w14:textId="77777777">
        <w:trPr>
          <w:jc w:val="center"/>
        </w:trPr>
        <w:tc>
          <w:tcPr>
            <w:tcW w:w="864" w:type="dxa"/>
            <w:shd w:val="clear" w:color="auto" w:fill="F7F9FC"/>
            <w:vAlign w:val="center"/>
          </w:tcPr>
          <w:p w14:paraId="0E33E55C" w14:textId="77777777" w:rsidR="00141F59" w:rsidRDefault="0006039A">
            <w:r>
              <w:rPr>
                <w:sz w:val="17"/>
              </w:rPr>
              <w:t>☐</w:t>
            </w:r>
          </w:p>
        </w:tc>
        <w:tc>
          <w:tcPr>
            <w:tcW w:w="8352" w:type="dxa"/>
            <w:shd w:val="clear" w:color="auto" w:fill="F7F9FC"/>
            <w:vAlign w:val="center"/>
          </w:tcPr>
          <w:p w14:paraId="77F2C187" w14:textId="77777777" w:rsidR="00141F59" w:rsidRDefault="0006039A">
            <w:r>
              <w:rPr>
                <w:sz w:val="17"/>
              </w:rPr>
              <w:t>Reviewed available balances and identified accounts approaching deficit.</w:t>
            </w:r>
          </w:p>
        </w:tc>
      </w:tr>
      <w:tr w:rsidR="00141F59" w14:paraId="39C83C26" w14:textId="77777777">
        <w:trPr>
          <w:jc w:val="center"/>
        </w:trPr>
        <w:tc>
          <w:tcPr>
            <w:tcW w:w="864" w:type="dxa"/>
            <w:vAlign w:val="center"/>
          </w:tcPr>
          <w:p w14:paraId="466C43D0" w14:textId="77777777" w:rsidR="00141F59" w:rsidRDefault="0006039A">
            <w:r>
              <w:rPr>
                <w:sz w:val="17"/>
              </w:rPr>
              <w:t>☐</w:t>
            </w:r>
          </w:p>
        </w:tc>
        <w:tc>
          <w:tcPr>
            <w:tcW w:w="8352" w:type="dxa"/>
            <w:vAlign w:val="center"/>
          </w:tcPr>
          <w:p w14:paraId="42726638" w14:textId="77777777" w:rsidR="00141F59" w:rsidRDefault="0006039A">
            <w:r>
              <w:rPr>
                <w:sz w:val="17"/>
              </w:rPr>
              <w:t xml:space="preserve">Reviewed transaction detail for unusual, incorrect, duplicate, or </w:t>
            </w:r>
            <w:r>
              <w:rPr>
                <w:sz w:val="17"/>
              </w:rPr>
              <w:t>unexpected activity.</w:t>
            </w:r>
          </w:p>
        </w:tc>
      </w:tr>
      <w:tr w:rsidR="00141F59" w14:paraId="2F8D6521" w14:textId="77777777">
        <w:trPr>
          <w:jc w:val="center"/>
        </w:trPr>
        <w:tc>
          <w:tcPr>
            <w:tcW w:w="864" w:type="dxa"/>
            <w:shd w:val="clear" w:color="auto" w:fill="F7F9FC"/>
            <w:vAlign w:val="center"/>
          </w:tcPr>
          <w:p w14:paraId="51B8546C" w14:textId="77777777" w:rsidR="00141F59" w:rsidRDefault="0006039A">
            <w:r>
              <w:rPr>
                <w:sz w:val="17"/>
              </w:rPr>
              <w:t>☐</w:t>
            </w:r>
          </w:p>
        </w:tc>
        <w:tc>
          <w:tcPr>
            <w:tcW w:w="8352" w:type="dxa"/>
            <w:shd w:val="clear" w:color="auto" w:fill="F7F9FC"/>
            <w:vAlign w:val="center"/>
          </w:tcPr>
          <w:p w14:paraId="278B8C2D" w14:textId="77777777" w:rsidR="00141F59" w:rsidRDefault="0006039A">
            <w:r>
              <w:rPr>
                <w:sz w:val="17"/>
              </w:rPr>
              <w:t>Reviewed outstanding encumbrances and purchase orders.</w:t>
            </w:r>
          </w:p>
        </w:tc>
      </w:tr>
      <w:tr w:rsidR="00141F59" w14:paraId="335B07C8" w14:textId="77777777">
        <w:trPr>
          <w:jc w:val="center"/>
        </w:trPr>
        <w:tc>
          <w:tcPr>
            <w:tcW w:w="864" w:type="dxa"/>
            <w:vAlign w:val="center"/>
          </w:tcPr>
          <w:p w14:paraId="5E6D611A" w14:textId="77777777" w:rsidR="00141F59" w:rsidRDefault="0006039A">
            <w:r>
              <w:rPr>
                <w:sz w:val="17"/>
              </w:rPr>
              <w:t>☐</w:t>
            </w:r>
          </w:p>
        </w:tc>
        <w:tc>
          <w:tcPr>
            <w:tcW w:w="8352" w:type="dxa"/>
            <w:vAlign w:val="center"/>
          </w:tcPr>
          <w:p w14:paraId="2533128A" w14:textId="77777777" w:rsidR="00141F59" w:rsidRDefault="0006039A">
            <w:r>
              <w:rPr>
                <w:sz w:val="17"/>
              </w:rPr>
              <w:t>Reviewed payroll and considered remaining salary/fringe obligations.</w:t>
            </w:r>
          </w:p>
        </w:tc>
      </w:tr>
      <w:tr w:rsidR="00141F59" w14:paraId="38AF81E3" w14:textId="77777777">
        <w:trPr>
          <w:jc w:val="center"/>
        </w:trPr>
        <w:tc>
          <w:tcPr>
            <w:tcW w:w="864" w:type="dxa"/>
            <w:shd w:val="clear" w:color="auto" w:fill="F7F9FC"/>
            <w:vAlign w:val="center"/>
          </w:tcPr>
          <w:p w14:paraId="464660B8" w14:textId="77777777" w:rsidR="00141F59" w:rsidRDefault="0006039A">
            <w:r>
              <w:rPr>
                <w:sz w:val="17"/>
              </w:rPr>
              <w:t>☐</w:t>
            </w:r>
          </w:p>
        </w:tc>
        <w:tc>
          <w:tcPr>
            <w:tcW w:w="8352" w:type="dxa"/>
            <w:shd w:val="clear" w:color="auto" w:fill="F7F9FC"/>
            <w:vAlign w:val="center"/>
          </w:tcPr>
          <w:p w14:paraId="14F93D40" w14:textId="77777777" w:rsidR="00141F59" w:rsidRDefault="0006039A">
            <w:r>
              <w:rPr>
                <w:sz w:val="17"/>
              </w:rPr>
              <w:t>Reviewed revenue collections where applicable.</w:t>
            </w:r>
          </w:p>
        </w:tc>
      </w:tr>
      <w:tr w:rsidR="00141F59" w14:paraId="0DA9048F" w14:textId="77777777">
        <w:trPr>
          <w:jc w:val="center"/>
        </w:trPr>
        <w:tc>
          <w:tcPr>
            <w:tcW w:w="864" w:type="dxa"/>
            <w:vAlign w:val="center"/>
          </w:tcPr>
          <w:p w14:paraId="4016BFCD" w14:textId="77777777" w:rsidR="00141F59" w:rsidRDefault="0006039A">
            <w:r>
              <w:rPr>
                <w:sz w:val="17"/>
              </w:rPr>
              <w:t>☐</w:t>
            </w:r>
          </w:p>
        </w:tc>
        <w:tc>
          <w:tcPr>
            <w:tcW w:w="8352" w:type="dxa"/>
            <w:vAlign w:val="center"/>
          </w:tcPr>
          <w:p w14:paraId="43C8E940" w14:textId="77777777" w:rsidR="00141F59" w:rsidRDefault="0006039A">
            <w:r>
              <w:rPr>
                <w:sz w:val="17"/>
              </w:rPr>
              <w:t xml:space="preserve">Identified approved or known obligations not yet </w:t>
            </w:r>
            <w:r>
              <w:rPr>
                <w:sz w:val="17"/>
              </w:rPr>
              <w:t>reflected in Banner.</w:t>
            </w:r>
          </w:p>
        </w:tc>
      </w:tr>
      <w:tr w:rsidR="00141F59" w14:paraId="78F05299" w14:textId="77777777">
        <w:trPr>
          <w:jc w:val="center"/>
        </w:trPr>
        <w:tc>
          <w:tcPr>
            <w:tcW w:w="864" w:type="dxa"/>
            <w:shd w:val="clear" w:color="auto" w:fill="F7F9FC"/>
            <w:vAlign w:val="center"/>
          </w:tcPr>
          <w:p w14:paraId="2820A04B" w14:textId="77777777" w:rsidR="00141F59" w:rsidRDefault="0006039A">
            <w:r>
              <w:rPr>
                <w:sz w:val="17"/>
              </w:rPr>
              <w:t>☐</w:t>
            </w:r>
          </w:p>
        </w:tc>
        <w:tc>
          <w:tcPr>
            <w:tcW w:w="8352" w:type="dxa"/>
            <w:shd w:val="clear" w:color="auto" w:fill="F7F9FC"/>
            <w:vAlign w:val="center"/>
          </w:tcPr>
          <w:p w14:paraId="06B21585" w14:textId="77777777" w:rsidR="00141F59" w:rsidRDefault="0006039A">
            <w:r>
              <w:rPr>
                <w:sz w:val="17"/>
              </w:rPr>
              <w:t>Projected the department's financial position through June 30.</w:t>
            </w:r>
          </w:p>
        </w:tc>
      </w:tr>
      <w:tr w:rsidR="00141F59" w14:paraId="30471C38" w14:textId="77777777">
        <w:trPr>
          <w:jc w:val="center"/>
        </w:trPr>
        <w:tc>
          <w:tcPr>
            <w:tcW w:w="864" w:type="dxa"/>
            <w:vAlign w:val="center"/>
          </w:tcPr>
          <w:p w14:paraId="369DBC22" w14:textId="77777777" w:rsidR="00141F59" w:rsidRDefault="0006039A">
            <w:r>
              <w:rPr>
                <w:sz w:val="17"/>
              </w:rPr>
              <w:t>☐</w:t>
            </w:r>
          </w:p>
        </w:tc>
        <w:tc>
          <w:tcPr>
            <w:tcW w:w="8352" w:type="dxa"/>
            <w:vAlign w:val="center"/>
          </w:tcPr>
          <w:p w14:paraId="5C472444" w14:textId="77777777" w:rsidR="00141F59" w:rsidRDefault="0006039A">
            <w:r>
              <w:rPr>
                <w:sz w:val="17"/>
              </w:rPr>
              <w:t>Submitted necessary corrections or budget-transfer requests.</w:t>
            </w:r>
          </w:p>
        </w:tc>
      </w:tr>
      <w:tr w:rsidR="00141F59" w14:paraId="21C0B608" w14:textId="77777777">
        <w:trPr>
          <w:jc w:val="center"/>
        </w:trPr>
        <w:tc>
          <w:tcPr>
            <w:tcW w:w="864" w:type="dxa"/>
            <w:shd w:val="clear" w:color="auto" w:fill="F7F9FC"/>
            <w:vAlign w:val="center"/>
          </w:tcPr>
          <w:p w14:paraId="3312702E" w14:textId="77777777" w:rsidR="00141F59" w:rsidRDefault="0006039A">
            <w:r>
              <w:rPr>
                <w:sz w:val="17"/>
              </w:rPr>
              <w:t>☐</w:t>
            </w:r>
          </w:p>
        </w:tc>
        <w:tc>
          <w:tcPr>
            <w:tcW w:w="8352" w:type="dxa"/>
            <w:shd w:val="clear" w:color="auto" w:fill="F7F9FC"/>
            <w:vAlign w:val="center"/>
          </w:tcPr>
          <w:p w14:paraId="65665466" w14:textId="77777777" w:rsidR="00141F59" w:rsidRDefault="0006039A">
            <w:r>
              <w:rPr>
                <w:sz w:val="17"/>
              </w:rPr>
              <w:t>Followed up on prior-month unresolved items.</w:t>
            </w:r>
          </w:p>
        </w:tc>
      </w:tr>
      <w:tr w:rsidR="00141F59" w14:paraId="6649AF1B" w14:textId="77777777">
        <w:trPr>
          <w:jc w:val="center"/>
        </w:trPr>
        <w:tc>
          <w:tcPr>
            <w:tcW w:w="864" w:type="dxa"/>
            <w:vAlign w:val="center"/>
          </w:tcPr>
          <w:p w14:paraId="791416BC" w14:textId="77777777" w:rsidR="00141F59" w:rsidRDefault="0006039A">
            <w:r>
              <w:rPr>
                <w:sz w:val="17"/>
              </w:rPr>
              <w:t>☐</w:t>
            </w:r>
          </w:p>
        </w:tc>
        <w:tc>
          <w:tcPr>
            <w:tcW w:w="8352" w:type="dxa"/>
            <w:vAlign w:val="center"/>
          </w:tcPr>
          <w:p w14:paraId="12B93597" w14:textId="77777777" w:rsidR="00141F59" w:rsidRDefault="0006039A">
            <w:r>
              <w:rPr>
                <w:sz w:val="17"/>
              </w:rPr>
              <w:t xml:space="preserve">Escalated projected deficits or compliance </w:t>
            </w:r>
            <w:r>
              <w:rPr>
                <w:sz w:val="17"/>
              </w:rPr>
              <w:t>concerns.</w:t>
            </w:r>
          </w:p>
        </w:tc>
      </w:tr>
      <w:tr w:rsidR="00141F59" w14:paraId="51E25403" w14:textId="77777777">
        <w:trPr>
          <w:jc w:val="center"/>
        </w:trPr>
        <w:tc>
          <w:tcPr>
            <w:tcW w:w="864" w:type="dxa"/>
            <w:shd w:val="clear" w:color="auto" w:fill="F7F9FC"/>
            <w:vAlign w:val="center"/>
          </w:tcPr>
          <w:p w14:paraId="33CF8310" w14:textId="77777777" w:rsidR="00141F59" w:rsidRDefault="0006039A">
            <w:r>
              <w:rPr>
                <w:sz w:val="17"/>
              </w:rPr>
              <w:t>☐</w:t>
            </w:r>
          </w:p>
        </w:tc>
        <w:tc>
          <w:tcPr>
            <w:tcW w:w="8352" w:type="dxa"/>
            <w:shd w:val="clear" w:color="auto" w:fill="F7F9FC"/>
            <w:vAlign w:val="center"/>
          </w:tcPr>
          <w:p w14:paraId="3AE3D800" w14:textId="77777777" w:rsidR="00141F59" w:rsidRDefault="0006039A">
            <w:r>
              <w:rPr>
                <w:sz w:val="17"/>
              </w:rPr>
              <w:t>Retained evidence of review in accordance with institutional practice.</w:t>
            </w:r>
          </w:p>
        </w:tc>
      </w:tr>
    </w:tbl>
    <w:p w14:paraId="72BDD306" w14:textId="77777777" w:rsidR="00141F59" w:rsidRDefault="00141F59">
      <w:pPr>
        <w:spacing w:after="40"/>
      </w:pPr>
    </w:p>
    <w:p w14:paraId="77558882" w14:textId="77777777" w:rsidR="00141F59" w:rsidRDefault="0006039A">
      <w:r>
        <w:br w:type="page"/>
      </w:r>
    </w:p>
    <w:p w14:paraId="2762E2D5" w14:textId="77777777" w:rsidR="00141F59" w:rsidRDefault="0006039A">
      <w:pPr>
        <w:pStyle w:val="Heading1"/>
      </w:pPr>
      <w:r>
        <w:t>Appendix A. Banner Quick Reference</w:t>
      </w:r>
    </w:p>
    <w:tbl>
      <w:tblPr>
        <w:tblStyle w:val="TableGrid"/>
        <w:tblW w:w="0" w:type="auto"/>
        <w:jc w:val="center"/>
        <w:tblLook w:val="04A0" w:firstRow="1" w:lastRow="0" w:firstColumn="1" w:lastColumn="0" w:noHBand="0" w:noVBand="1"/>
      </w:tblPr>
      <w:tblGrid>
        <w:gridCol w:w="3309"/>
        <w:gridCol w:w="3308"/>
        <w:gridCol w:w="3309"/>
      </w:tblGrid>
      <w:tr w:rsidR="00141F59" w14:paraId="5496D2C1" w14:textId="77777777">
        <w:trPr>
          <w:jc w:val="center"/>
        </w:trPr>
        <w:tc>
          <w:tcPr>
            <w:tcW w:w="3312" w:type="dxa"/>
            <w:shd w:val="clear" w:color="auto" w:fill="17365D"/>
            <w:vAlign w:val="center"/>
          </w:tcPr>
          <w:p w14:paraId="17A4C5BF" w14:textId="77777777" w:rsidR="00141F59" w:rsidRDefault="0006039A">
            <w:r>
              <w:rPr>
                <w:b/>
                <w:color w:val="FFFFFF"/>
                <w:sz w:val="18"/>
              </w:rPr>
              <w:t>Need</w:t>
            </w:r>
          </w:p>
        </w:tc>
        <w:tc>
          <w:tcPr>
            <w:tcW w:w="3312" w:type="dxa"/>
            <w:shd w:val="clear" w:color="auto" w:fill="17365D"/>
            <w:vAlign w:val="center"/>
          </w:tcPr>
          <w:p w14:paraId="2742E4FD" w14:textId="77777777" w:rsidR="00141F59" w:rsidRDefault="0006039A">
            <w:r>
              <w:rPr>
                <w:b/>
                <w:color w:val="FFFFFF"/>
                <w:sz w:val="18"/>
              </w:rPr>
              <w:t>Start here</w:t>
            </w:r>
          </w:p>
        </w:tc>
        <w:tc>
          <w:tcPr>
            <w:tcW w:w="3312" w:type="dxa"/>
            <w:shd w:val="clear" w:color="auto" w:fill="17365D"/>
            <w:vAlign w:val="center"/>
          </w:tcPr>
          <w:p w14:paraId="4C578504" w14:textId="77777777" w:rsidR="00141F59" w:rsidRDefault="0006039A">
            <w:r>
              <w:rPr>
                <w:b/>
                <w:color w:val="FFFFFF"/>
                <w:sz w:val="18"/>
              </w:rPr>
              <w:t>Follow-up</w:t>
            </w:r>
          </w:p>
        </w:tc>
      </w:tr>
      <w:tr w:rsidR="00141F59" w14:paraId="0E871B26" w14:textId="77777777">
        <w:trPr>
          <w:jc w:val="center"/>
        </w:trPr>
        <w:tc>
          <w:tcPr>
            <w:tcW w:w="3312" w:type="dxa"/>
            <w:vAlign w:val="center"/>
          </w:tcPr>
          <w:p w14:paraId="392009F5" w14:textId="77777777" w:rsidR="00141F59" w:rsidRDefault="0006039A">
            <w:r>
              <w:rPr>
                <w:sz w:val="17"/>
              </w:rPr>
              <w:t>See budget by account</w:t>
            </w:r>
          </w:p>
        </w:tc>
        <w:tc>
          <w:tcPr>
            <w:tcW w:w="3312" w:type="dxa"/>
            <w:vAlign w:val="center"/>
          </w:tcPr>
          <w:p w14:paraId="1D2ADFA9" w14:textId="77777777" w:rsidR="00141F59" w:rsidRDefault="0006039A">
            <w:r>
              <w:rPr>
                <w:sz w:val="17"/>
              </w:rPr>
              <w:t>FGIBDST</w:t>
            </w:r>
          </w:p>
        </w:tc>
        <w:tc>
          <w:tcPr>
            <w:tcW w:w="3312" w:type="dxa"/>
            <w:vAlign w:val="center"/>
          </w:tcPr>
          <w:p w14:paraId="10D32034" w14:textId="77777777" w:rsidR="00141F59" w:rsidRDefault="0006039A">
            <w:r>
              <w:rPr>
                <w:sz w:val="17"/>
              </w:rPr>
              <w:t>Drill down or use FGITRND for detail.</w:t>
            </w:r>
          </w:p>
        </w:tc>
      </w:tr>
      <w:tr w:rsidR="00141F59" w14:paraId="079D7E65" w14:textId="77777777">
        <w:trPr>
          <w:jc w:val="center"/>
        </w:trPr>
        <w:tc>
          <w:tcPr>
            <w:tcW w:w="3312" w:type="dxa"/>
            <w:shd w:val="clear" w:color="auto" w:fill="F7F9FC"/>
            <w:vAlign w:val="center"/>
          </w:tcPr>
          <w:p w14:paraId="70293361" w14:textId="77777777" w:rsidR="00141F59" w:rsidRDefault="0006039A">
            <w:r>
              <w:rPr>
                <w:sz w:val="17"/>
              </w:rPr>
              <w:t>Check available budget</w:t>
            </w:r>
          </w:p>
        </w:tc>
        <w:tc>
          <w:tcPr>
            <w:tcW w:w="3312" w:type="dxa"/>
            <w:shd w:val="clear" w:color="auto" w:fill="F7F9FC"/>
            <w:vAlign w:val="center"/>
          </w:tcPr>
          <w:p w14:paraId="77A50160" w14:textId="77777777" w:rsidR="00141F59" w:rsidRDefault="0006039A">
            <w:r>
              <w:rPr>
                <w:sz w:val="17"/>
              </w:rPr>
              <w:t>FGIBAVL</w:t>
            </w:r>
          </w:p>
        </w:tc>
        <w:tc>
          <w:tcPr>
            <w:tcW w:w="3312" w:type="dxa"/>
            <w:shd w:val="clear" w:color="auto" w:fill="F7F9FC"/>
            <w:vAlign w:val="center"/>
          </w:tcPr>
          <w:p w14:paraId="1032CADF" w14:textId="77777777" w:rsidR="00141F59" w:rsidRDefault="0006039A">
            <w:r>
              <w:rPr>
                <w:sz w:val="17"/>
              </w:rPr>
              <w:t>Confirm institution's budget-control configuration.</w:t>
            </w:r>
          </w:p>
        </w:tc>
      </w:tr>
      <w:tr w:rsidR="00141F59" w14:paraId="0324F16C" w14:textId="77777777">
        <w:trPr>
          <w:jc w:val="center"/>
        </w:trPr>
        <w:tc>
          <w:tcPr>
            <w:tcW w:w="3312" w:type="dxa"/>
            <w:vAlign w:val="center"/>
          </w:tcPr>
          <w:p w14:paraId="400690B4" w14:textId="77777777" w:rsidR="00141F59" w:rsidRDefault="0006039A">
            <w:r>
              <w:rPr>
                <w:sz w:val="17"/>
              </w:rPr>
              <w:t>See individual transactions</w:t>
            </w:r>
          </w:p>
        </w:tc>
        <w:tc>
          <w:tcPr>
            <w:tcW w:w="3312" w:type="dxa"/>
            <w:vAlign w:val="center"/>
          </w:tcPr>
          <w:p w14:paraId="56EA2314" w14:textId="77777777" w:rsidR="00141F59" w:rsidRDefault="0006039A">
            <w:r>
              <w:rPr>
                <w:sz w:val="17"/>
              </w:rPr>
              <w:t>FGITRND</w:t>
            </w:r>
          </w:p>
        </w:tc>
        <w:tc>
          <w:tcPr>
            <w:tcW w:w="3312" w:type="dxa"/>
            <w:vAlign w:val="center"/>
          </w:tcPr>
          <w:p w14:paraId="6F50A05D" w14:textId="77777777" w:rsidR="00141F59" w:rsidRDefault="0006039A">
            <w:r>
              <w:rPr>
                <w:sz w:val="17"/>
              </w:rPr>
              <w:t>Use document number to investigate further.</w:t>
            </w:r>
          </w:p>
        </w:tc>
      </w:tr>
      <w:tr w:rsidR="00141F59" w14:paraId="478CB133" w14:textId="77777777">
        <w:trPr>
          <w:jc w:val="center"/>
        </w:trPr>
        <w:tc>
          <w:tcPr>
            <w:tcW w:w="3312" w:type="dxa"/>
            <w:shd w:val="clear" w:color="auto" w:fill="F7F9FC"/>
            <w:vAlign w:val="center"/>
          </w:tcPr>
          <w:p w14:paraId="3B4E636C" w14:textId="77777777" w:rsidR="00141F59" w:rsidRDefault="0006039A">
            <w:r>
              <w:rPr>
                <w:sz w:val="17"/>
              </w:rPr>
              <w:t>Research a document</w:t>
            </w:r>
          </w:p>
        </w:tc>
        <w:tc>
          <w:tcPr>
            <w:tcW w:w="3312" w:type="dxa"/>
            <w:shd w:val="clear" w:color="auto" w:fill="F7F9FC"/>
            <w:vAlign w:val="center"/>
          </w:tcPr>
          <w:p w14:paraId="49490000" w14:textId="77777777" w:rsidR="00141F59" w:rsidRDefault="0006039A">
            <w:r>
              <w:rPr>
                <w:sz w:val="17"/>
              </w:rPr>
              <w:t>FGIDOCR</w:t>
            </w:r>
          </w:p>
        </w:tc>
        <w:tc>
          <w:tcPr>
            <w:tcW w:w="3312" w:type="dxa"/>
            <w:shd w:val="clear" w:color="auto" w:fill="F7F9FC"/>
            <w:vAlign w:val="center"/>
          </w:tcPr>
          <w:p w14:paraId="1091E1B6" w14:textId="77777777" w:rsidR="00141F59" w:rsidRDefault="0006039A">
            <w:r>
              <w:rPr>
                <w:sz w:val="17"/>
              </w:rPr>
              <w:t>Review accounting distribution and related detail.</w:t>
            </w:r>
          </w:p>
        </w:tc>
      </w:tr>
      <w:tr w:rsidR="00141F59" w14:paraId="2972D619" w14:textId="77777777">
        <w:trPr>
          <w:jc w:val="center"/>
        </w:trPr>
        <w:tc>
          <w:tcPr>
            <w:tcW w:w="3312" w:type="dxa"/>
            <w:vAlign w:val="center"/>
          </w:tcPr>
          <w:p w14:paraId="7B76C033" w14:textId="77777777" w:rsidR="00141F59" w:rsidRDefault="0006039A">
            <w:r>
              <w:rPr>
                <w:sz w:val="17"/>
              </w:rPr>
              <w:t>Review an encumbrance</w:t>
            </w:r>
          </w:p>
        </w:tc>
        <w:tc>
          <w:tcPr>
            <w:tcW w:w="3312" w:type="dxa"/>
            <w:vAlign w:val="center"/>
          </w:tcPr>
          <w:p w14:paraId="15B85A18" w14:textId="77777777" w:rsidR="00141F59" w:rsidRDefault="0006039A">
            <w:r>
              <w:rPr>
                <w:sz w:val="17"/>
              </w:rPr>
              <w:t>FGIENCD</w:t>
            </w:r>
          </w:p>
        </w:tc>
        <w:tc>
          <w:tcPr>
            <w:tcW w:w="3312" w:type="dxa"/>
            <w:vAlign w:val="center"/>
          </w:tcPr>
          <w:p w14:paraId="5C64FE0B" w14:textId="77777777" w:rsidR="00141F59" w:rsidRDefault="0006039A">
            <w:r>
              <w:rPr>
                <w:sz w:val="17"/>
              </w:rPr>
              <w:t>Coordinate closure/liquidation with the responsible office.</w:t>
            </w:r>
          </w:p>
        </w:tc>
      </w:tr>
      <w:tr w:rsidR="00141F59" w14:paraId="78B77B7A" w14:textId="77777777">
        <w:trPr>
          <w:jc w:val="center"/>
        </w:trPr>
        <w:tc>
          <w:tcPr>
            <w:tcW w:w="3312" w:type="dxa"/>
            <w:shd w:val="clear" w:color="auto" w:fill="F7F9FC"/>
            <w:vAlign w:val="center"/>
          </w:tcPr>
          <w:p w14:paraId="358C385A" w14:textId="77777777" w:rsidR="00141F59" w:rsidRDefault="0006039A">
            <w:r>
              <w:rPr>
                <w:sz w:val="17"/>
              </w:rPr>
              <w:t>See higher-level summary</w:t>
            </w:r>
          </w:p>
        </w:tc>
        <w:tc>
          <w:tcPr>
            <w:tcW w:w="3312" w:type="dxa"/>
            <w:shd w:val="clear" w:color="auto" w:fill="F7F9FC"/>
            <w:vAlign w:val="center"/>
          </w:tcPr>
          <w:p w14:paraId="5F5AA22B" w14:textId="77777777" w:rsidR="00141F59" w:rsidRDefault="0006039A">
            <w:r>
              <w:rPr>
                <w:sz w:val="17"/>
              </w:rPr>
              <w:t>FGIBDSR</w:t>
            </w:r>
          </w:p>
        </w:tc>
        <w:tc>
          <w:tcPr>
            <w:tcW w:w="3312" w:type="dxa"/>
            <w:shd w:val="clear" w:color="auto" w:fill="F7F9FC"/>
            <w:vAlign w:val="center"/>
          </w:tcPr>
          <w:p w14:paraId="330C44C8" w14:textId="77777777" w:rsidR="00141F59" w:rsidRDefault="0006039A">
            <w:r>
              <w:rPr>
                <w:sz w:val="17"/>
              </w:rPr>
              <w:t>Availability/use may vary by institution.</w:t>
            </w:r>
          </w:p>
        </w:tc>
      </w:tr>
    </w:tbl>
    <w:p w14:paraId="3208FAD2" w14:textId="77777777" w:rsidR="00141F59" w:rsidRDefault="00141F59">
      <w:pPr>
        <w:spacing w:after="40"/>
      </w:pPr>
    </w:p>
    <w:p w14:paraId="1D8B1BBD" w14:textId="77777777" w:rsidR="00141F59" w:rsidRDefault="0006039A">
      <w:r>
        <w:t>Tip: If a Banner result does not make sense, first verify fiscal year, chart, fund, organization, account, program, and any query filters before assuming the underlying accounting is wrong.</w:t>
      </w:r>
    </w:p>
    <w:p w14:paraId="7CB3E624" w14:textId="77777777" w:rsidR="00141F59" w:rsidRDefault="0006039A">
      <w:pPr>
        <w:pStyle w:val="Heading1"/>
      </w:pPr>
      <w:r>
        <w:t>Appendix B. Sample Monthly Budget Review Worksheet</w:t>
      </w:r>
    </w:p>
    <w:tbl>
      <w:tblPr>
        <w:tblStyle w:val="TableGrid"/>
        <w:tblW w:w="0" w:type="auto"/>
        <w:jc w:val="center"/>
        <w:tblLook w:val="04A0" w:firstRow="1" w:lastRow="0" w:firstColumn="1" w:lastColumn="0" w:noHBand="0" w:noVBand="1"/>
      </w:tblPr>
      <w:tblGrid>
        <w:gridCol w:w="1942"/>
        <w:gridCol w:w="1726"/>
        <w:gridCol w:w="2230"/>
        <w:gridCol w:w="1655"/>
        <w:gridCol w:w="2373"/>
      </w:tblGrid>
      <w:tr w:rsidR="00141F59" w14:paraId="3FC58E99" w14:textId="77777777">
        <w:trPr>
          <w:jc w:val="center"/>
        </w:trPr>
        <w:tc>
          <w:tcPr>
            <w:tcW w:w="1944" w:type="dxa"/>
            <w:shd w:val="clear" w:color="auto" w:fill="17365D"/>
            <w:vAlign w:val="center"/>
          </w:tcPr>
          <w:p w14:paraId="1C90F408" w14:textId="77777777" w:rsidR="00141F59" w:rsidRDefault="0006039A">
            <w:r>
              <w:rPr>
                <w:b/>
                <w:color w:val="FFFFFF"/>
                <w:sz w:val="18"/>
              </w:rPr>
              <w:t>Category</w:t>
            </w:r>
          </w:p>
        </w:tc>
        <w:tc>
          <w:tcPr>
            <w:tcW w:w="1728" w:type="dxa"/>
            <w:shd w:val="clear" w:color="auto" w:fill="17365D"/>
            <w:vAlign w:val="center"/>
          </w:tcPr>
          <w:p w14:paraId="7FEEA19B" w14:textId="77777777" w:rsidR="00141F59" w:rsidRDefault="0006039A">
            <w:r>
              <w:rPr>
                <w:b/>
                <w:color w:val="FFFFFF"/>
                <w:sz w:val="18"/>
              </w:rPr>
              <w:t>Banner / current amount</w:t>
            </w:r>
          </w:p>
        </w:tc>
        <w:tc>
          <w:tcPr>
            <w:tcW w:w="2232" w:type="dxa"/>
            <w:shd w:val="clear" w:color="auto" w:fill="17365D"/>
            <w:vAlign w:val="center"/>
          </w:tcPr>
          <w:p w14:paraId="00BABB30" w14:textId="77777777" w:rsidR="00141F59" w:rsidRDefault="0006039A">
            <w:r>
              <w:rPr>
                <w:b/>
                <w:color w:val="FFFFFF"/>
                <w:sz w:val="18"/>
              </w:rPr>
              <w:t>Future obligation / adjustment</w:t>
            </w:r>
          </w:p>
        </w:tc>
        <w:tc>
          <w:tcPr>
            <w:tcW w:w="1656" w:type="dxa"/>
            <w:shd w:val="clear" w:color="auto" w:fill="17365D"/>
            <w:vAlign w:val="center"/>
          </w:tcPr>
          <w:p w14:paraId="16ABC7ED" w14:textId="77777777" w:rsidR="00141F59" w:rsidRDefault="0006039A">
            <w:r>
              <w:rPr>
                <w:b/>
                <w:color w:val="FFFFFF"/>
                <w:sz w:val="18"/>
              </w:rPr>
              <w:t>Projected amount</w:t>
            </w:r>
          </w:p>
        </w:tc>
        <w:tc>
          <w:tcPr>
            <w:tcW w:w="2376" w:type="dxa"/>
            <w:shd w:val="clear" w:color="auto" w:fill="17365D"/>
            <w:vAlign w:val="center"/>
          </w:tcPr>
          <w:p w14:paraId="57219E5F" w14:textId="77777777" w:rsidR="00141F59" w:rsidRDefault="0006039A">
            <w:r>
              <w:rPr>
                <w:b/>
                <w:color w:val="FFFFFF"/>
                <w:sz w:val="18"/>
              </w:rPr>
              <w:t>Notes</w:t>
            </w:r>
          </w:p>
        </w:tc>
      </w:tr>
      <w:tr w:rsidR="00141F59" w14:paraId="64573419" w14:textId="77777777">
        <w:trPr>
          <w:jc w:val="center"/>
        </w:trPr>
        <w:tc>
          <w:tcPr>
            <w:tcW w:w="1944" w:type="dxa"/>
            <w:vAlign w:val="center"/>
          </w:tcPr>
          <w:p w14:paraId="18FC4AEB" w14:textId="77777777" w:rsidR="00141F59" w:rsidRDefault="0006039A">
            <w:r>
              <w:rPr>
                <w:sz w:val="17"/>
              </w:rPr>
              <w:t>Operating expenses</w:t>
            </w:r>
          </w:p>
        </w:tc>
        <w:tc>
          <w:tcPr>
            <w:tcW w:w="1728" w:type="dxa"/>
            <w:vAlign w:val="center"/>
          </w:tcPr>
          <w:p w14:paraId="21D2C9DA" w14:textId="77777777" w:rsidR="00141F59" w:rsidRDefault="00141F59"/>
        </w:tc>
        <w:tc>
          <w:tcPr>
            <w:tcW w:w="2232" w:type="dxa"/>
            <w:vAlign w:val="center"/>
          </w:tcPr>
          <w:p w14:paraId="2E9677AE" w14:textId="77777777" w:rsidR="00141F59" w:rsidRDefault="00141F59"/>
        </w:tc>
        <w:tc>
          <w:tcPr>
            <w:tcW w:w="1656" w:type="dxa"/>
            <w:vAlign w:val="center"/>
          </w:tcPr>
          <w:p w14:paraId="5D7A0CA0" w14:textId="77777777" w:rsidR="00141F59" w:rsidRDefault="00141F59"/>
        </w:tc>
        <w:tc>
          <w:tcPr>
            <w:tcW w:w="2376" w:type="dxa"/>
            <w:vAlign w:val="center"/>
          </w:tcPr>
          <w:p w14:paraId="2E433BBB" w14:textId="77777777" w:rsidR="00141F59" w:rsidRDefault="00141F59"/>
        </w:tc>
      </w:tr>
      <w:tr w:rsidR="00141F59" w14:paraId="5C72ABDD" w14:textId="77777777">
        <w:trPr>
          <w:jc w:val="center"/>
        </w:trPr>
        <w:tc>
          <w:tcPr>
            <w:tcW w:w="1944" w:type="dxa"/>
            <w:shd w:val="clear" w:color="auto" w:fill="F7F9FC"/>
            <w:vAlign w:val="center"/>
          </w:tcPr>
          <w:p w14:paraId="007681A5" w14:textId="77777777" w:rsidR="00141F59" w:rsidRDefault="0006039A">
            <w:r>
              <w:rPr>
                <w:sz w:val="17"/>
              </w:rPr>
              <w:t xml:space="preserve">Payroll &amp; </w:t>
            </w:r>
            <w:r>
              <w:rPr>
                <w:sz w:val="17"/>
              </w:rPr>
              <w:t>fringe</w:t>
            </w:r>
          </w:p>
        </w:tc>
        <w:tc>
          <w:tcPr>
            <w:tcW w:w="1728" w:type="dxa"/>
            <w:shd w:val="clear" w:color="auto" w:fill="F7F9FC"/>
            <w:vAlign w:val="center"/>
          </w:tcPr>
          <w:p w14:paraId="5D585342" w14:textId="77777777" w:rsidR="00141F59" w:rsidRDefault="00141F59"/>
        </w:tc>
        <w:tc>
          <w:tcPr>
            <w:tcW w:w="2232" w:type="dxa"/>
            <w:shd w:val="clear" w:color="auto" w:fill="F7F9FC"/>
            <w:vAlign w:val="center"/>
          </w:tcPr>
          <w:p w14:paraId="207EED49" w14:textId="77777777" w:rsidR="00141F59" w:rsidRDefault="00141F59"/>
        </w:tc>
        <w:tc>
          <w:tcPr>
            <w:tcW w:w="1656" w:type="dxa"/>
            <w:shd w:val="clear" w:color="auto" w:fill="F7F9FC"/>
            <w:vAlign w:val="center"/>
          </w:tcPr>
          <w:p w14:paraId="4061D473" w14:textId="77777777" w:rsidR="00141F59" w:rsidRDefault="00141F59"/>
        </w:tc>
        <w:tc>
          <w:tcPr>
            <w:tcW w:w="2376" w:type="dxa"/>
            <w:shd w:val="clear" w:color="auto" w:fill="F7F9FC"/>
            <w:vAlign w:val="center"/>
          </w:tcPr>
          <w:p w14:paraId="04200BD5" w14:textId="77777777" w:rsidR="00141F59" w:rsidRDefault="00141F59"/>
        </w:tc>
      </w:tr>
      <w:tr w:rsidR="00141F59" w14:paraId="423B7F42" w14:textId="77777777">
        <w:trPr>
          <w:jc w:val="center"/>
        </w:trPr>
        <w:tc>
          <w:tcPr>
            <w:tcW w:w="1944" w:type="dxa"/>
            <w:vAlign w:val="center"/>
          </w:tcPr>
          <w:p w14:paraId="3638340C" w14:textId="77777777" w:rsidR="00141F59" w:rsidRDefault="0006039A">
            <w:r>
              <w:rPr>
                <w:sz w:val="17"/>
              </w:rPr>
              <w:t>Travel</w:t>
            </w:r>
          </w:p>
        </w:tc>
        <w:tc>
          <w:tcPr>
            <w:tcW w:w="1728" w:type="dxa"/>
            <w:vAlign w:val="center"/>
          </w:tcPr>
          <w:p w14:paraId="25318661" w14:textId="77777777" w:rsidR="00141F59" w:rsidRDefault="00141F59"/>
        </w:tc>
        <w:tc>
          <w:tcPr>
            <w:tcW w:w="2232" w:type="dxa"/>
            <w:vAlign w:val="center"/>
          </w:tcPr>
          <w:p w14:paraId="77FCFECB" w14:textId="77777777" w:rsidR="00141F59" w:rsidRDefault="00141F59"/>
        </w:tc>
        <w:tc>
          <w:tcPr>
            <w:tcW w:w="1656" w:type="dxa"/>
            <w:vAlign w:val="center"/>
          </w:tcPr>
          <w:p w14:paraId="3FC79D7E" w14:textId="77777777" w:rsidR="00141F59" w:rsidRDefault="00141F59"/>
        </w:tc>
        <w:tc>
          <w:tcPr>
            <w:tcW w:w="2376" w:type="dxa"/>
            <w:vAlign w:val="center"/>
          </w:tcPr>
          <w:p w14:paraId="67F1CC67" w14:textId="77777777" w:rsidR="00141F59" w:rsidRDefault="00141F59"/>
        </w:tc>
      </w:tr>
      <w:tr w:rsidR="00141F59" w14:paraId="5C966B2D" w14:textId="77777777">
        <w:trPr>
          <w:jc w:val="center"/>
        </w:trPr>
        <w:tc>
          <w:tcPr>
            <w:tcW w:w="1944" w:type="dxa"/>
            <w:shd w:val="clear" w:color="auto" w:fill="F7F9FC"/>
            <w:vAlign w:val="center"/>
          </w:tcPr>
          <w:p w14:paraId="7F8DD9C5" w14:textId="77777777" w:rsidR="00141F59" w:rsidRDefault="0006039A">
            <w:r>
              <w:rPr>
                <w:sz w:val="17"/>
              </w:rPr>
              <w:t>Contracts</w:t>
            </w:r>
          </w:p>
        </w:tc>
        <w:tc>
          <w:tcPr>
            <w:tcW w:w="1728" w:type="dxa"/>
            <w:shd w:val="clear" w:color="auto" w:fill="F7F9FC"/>
            <w:vAlign w:val="center"/>
          </w:tcPr>
          <w:p w14:paraId="7FE84FC0" w14:textId="77777777" w:rsidR="00141F59" w:rsidRDefault="00141F59"/>
        </w:tc>
        <w:tc>
          <w:tcPr>
            <w:tcW w:w="2232" w:type="dxa"/>
            <w:shd w:val="clear" w:color="auto" w:fill="F7F9FC"/>
            <w:vAlign w:val="center"/>
          </w:tcPr>
          <w:p w14:paraId="0E487C41" w14:textId="77777777" w:rsidR="00141F59" w:rsidRDefault="00141F59"/>
        </w:tc>
        <w:tc>
          <w:tcPr>
            <w:tcW w:w="1656" w:type="dxa"/>
            <w:shd w:val="clear" w:color="auto" w:fill="F7F9FC"/>
            <w:vAlign w:val="center"/>
          </w:tcPr>
          <w:p w14:paraId="0DD374B3" w14:textId="77777777" w:rsidR="00141F59" w:rsidRDefault="00141F59"/>
        </w:tc>
        <w:tc>
          <w:tcPr>
            <w:tcW w:w="2376" w:type="dxa"/>
            <w:shd w:val="clear" w:color="auto" w:fill="F7F9FC"/>
            <w:vAlign w:val="center"/>
          </w:tcPr>
          <w:p w14:paraId="0430BB84" w14:textId="77777777" w:rsidR="00141F59" w:rsidRDefault="00141F59"/>
        </w:tc>
      </w:tr>
      <w:tr w:rsidR="00141F59" w14:paraId="0B7F2251" w14:textId="77777777">
        <w:trPr>
          <w:jc w:val="center"/>
        </w:trPr>
        <w:tc>
          <w:tcPr>
            <w:tcW w:w="1944" w:type="dxa"/>
            <w:vAlign w:val="center"/>
          </w:tcPr>
          <w:p w14:paraId="119A8E58" w14:textId="77777777" w:rsidR="00141F59" w:rsidRDefault="0006039A">
            <w:r>
              <w:rPr>
                <w:sz w:val="17"/>
              </w:rPr>
              <w:t>PCard / pending purchases</w:t>
            </w:r>
          </w:p>
        </w:tc>
        <w:tc>
          <w:tcPr>
            <w:tcW w:w="1728" w:type="dxa"/>
            <w:vAlign w:val="center"/>
          </w:tcPr>
          <w:p w14:paraId="71537625" w14:textId="77777777" w:rsidR="00141F59" w:rsidRDefault="00141F59"/>
        </w:tc>
        <w:tc>
          <w:tcPr>
            <w:tcW w:w="2232" w:type="dxa"/>
            <w:vAlign w:val="center"/>
          </w:tcPr>
          <w:p w14:paraId="29E861C7" w14:textId="77777777" w:rsidR="00141F59" w:rsidRDefault="00141F59"/>
        </w:tc>
        <w:tc>
          <w:tcPr>
            <w:tcW w:w="1656" w:type="dxa"/>
            <w:vAlign w:val="center"/>
          </w:tcPr>
          <w:p w14:paraId="52FBDE57" w14:textId="77777777" w:rsidR="00141F59" w:rsidRDefault="00141F59"/>
        </w:tc>
        <w:tc>
          <w:tcPr>
            <w:tcW w:w="2376" w:type="dxa"/>
            <w:vAlign w:val="center"/>
          </w:tcPr>
          <w:p w14:paraId="238DA1A6" w14:textId="77777777" w:rsidR="00141F59" w:rsidRDefault="00141F59"/>
        </w:tc>
      </w:tr>
      <w:tr w:rsidR="00141F59" w14:paraId="21BDCFEC" w14:textId="77777777">
        <w:trPr>
          <w:jc w:val="center"/>
        </w:trPr>
        <w:tc>
          <w:tcPr>
            <w:tcW w:w="1944" w:type="dxa"/>
            <w:shd w:val="clear" w:color="auto" w:fill="F7F9FC"/>
            <w:vAlign w:val="center"/>
          </w:tcPr>
          <w:p w14:paraId="27543C11" w14:textId="77777777" w:rsidR="00141F59" w:rsidRDefault="0006039A">
            <w:r>
              <w:rPr>
                <w:sz w:val="17"/>
              </w:rPr>
              <w:t>Other commitments</w:t>
            </w:r>
          </w:p>
        </w:tc>
        <w:tc>
          <w:tcPr>
            <w:tcW w:w="1728" w:type="dxa"/>
            <w:shd w:val="clear" w:color="auto" w:fill="F7F9FC"/>
            <w:vAlign w:val="center"/>
          </w:tcPr>
          <w:p w14:paraId="65912C51" w14:textId="77777777" w:rsidR="00141F59" w:rsidRDefault="00141F59"/>
        </w:tc>
        <w:tc>
          <w:tcPr>
            <w:tcW w:w="2232" w:type="dxa"/>
            <w:shd w:val="clear" w:color="auto" w:fill="F7F9FC"/>
            <w:vAlign w:val="center"/>
          </w:tcPr>
          <w:p w14:paraId="0D5E1EF5" w14:textId="77777777" w:rsidR="00141F59" w:rsidRDefault="00141F59"/>
        </w:tc>
        <w:tc>
          <w:tcPr>
            <w:tcW w:w="1656" w:type="dxa"/>
            <w:shd w:val="clear" w:color="auto" w:fill="F7F9FC"/>
            <w:vAlign w:val="center"/>
          </w:tcPr>
          <w:p w14:paraId="6ED65652" w14:textId="77777777" w:rsidR="00141F59" w:rsidRDefault="00141F59"/>
        </w:tc>
        <w:tc>
          <w:tcPr>
            <w:tcW w:w="2376" w:type="dxa"/>
            <w:shd w:val="clear" w:color="auto" w:fill="F7F9FC"/>
            <w:vAlign w:val="center"/>
          </w:tcPr>
          <w:p w14:paraId="2FBA8645" w14:textId="77777777" w:rsidR="00141F59" w:rsidRDefault="00141F59"/>
        </w:tc>
      </w:tr>
      <w:tr w:rsidR="00141F59" w14:paraId="42CC2E29" w14:textId="77777777">
        <w:trPr>
          <w:jc w:val="center"/>
        </w:trPr>
        <w:tc>
          <w:tcPr>
            <w:tcW w:w="1944" w:type="dxa"/>
            <w:vAlign w:val="center"/>
          </w:tcPr>
          <w:p w14:paraId="09DE55D2" w14:textId="77777777" w:rsidR="00141F59" w:rsidRDefault="0006039A">
            <w:r>
              <w:rPr>
                <w:sz w:val="17"/>
              </w:rPr>
              <w:t>Revenue shortfall / gain</w:t>
            </w:r>
          </w:p>
        </w:tc>
        <w:tc>
          <w:tcPr>
            <w:tcW w:w="1728" w:type="dxa"/>
            <w:vAlign w:val="center"/>
          </w:tcPr>
          <w:p w14:paraId="318F1EE6" w14:textId="77777777" w:rsidR="00141F59" w:rsidRDefault="00141F59"/>
        </w:tc>
        <w:tc>
          <w:tcPr>
            <w:tcW w:w="2232" w:type="dxa"/>
            <w:vAlign w:val="center"/>
          </w:tcPr>
          <w:p w14:paraId="5AA12D94" w14:textId="77777777" w:rsidR="00141F59" w:rsidRDefault="00141F59"/>
        </w:tc>
        <w:tc>
          <w:tcPr>
            <w:tcW w:w="1656" w:type="dxa"/>
            <w:vAlign w:val="center"/>
          </w:tcPr>
          <w:p w14:paraId="745E604D" w14:textId="77777777" w:rsidR="00141F59" w:rsidRDefault="00141F59"/>
        </w:tc>
        <w:tc>
          <w:tcPr>
            <w:tcW w:w="2376" w:type="dxa"/>
            <w:vAlign w:val="center"/>
          </w:tcPr>
          <w:p w14:paraId="63A16C7F" w14:textId="77777777" w:rsidR="00141F59" w:rsidRDefault="00141F59"/>
        </w:tc>
      </w:tr>
      <w:tr w:rsidR="00141F59" w14:paraId="2E813706" w14:textId="77777777">
        <w:trPr>
          <w:jc w:val="center"/>
        </w:trPr>
        <w:tc>
          <w:tcPr>
            <w:tcW w:w="1944" w:type="dxa"/>
            <w:shd w:val="clear" w:color="auto" w:fill="F7F9FC"/>
            <w:vAlign w:val="center"/>
          </w:tcPr>
          <w:p w14:paraId="2E13B58F" w14:textId="77777777" w:rsidR="00141F59" w:rsidRDefault="0006039A">
            <w:r>
              <w:rPr>
                <w:sz w:val="17"/>
              </w:rPr>
              <w:t>Projected uncommitted balance</w:t>
            </w:r>
          </w:p>
        </w:tc>
        <w:tc>
          <w:tcPr>
            <w:tcW w:w="1728" w:type="dxa"/>
            <w:shd w:val="clear" w:color="auto" w:fill="F7F9FC"/>
            <w:vAlign w:val="center"/>
          </w:tcPr>
          <w:p w14:paraId="4529008C" w14:textId="77777777" w:rsidR="00141F59" w:rsidRDefault="00141F59"/>
        </w:tc>
        <w:tc>
          <w:tcPr>
            <w:tcW w:w="2232" w:type="dxa"/>
            <w:shd w:val="clear" w:color="auto" w:fill="F7F9FC"/>
            <w:vAlign w:val="center"/>
          </w:tcPr>
          <w:p w14:paraId="5106CD48" w14:textId="77777777" w:rsidR="00141F59" w:rsidRDefault="00141F59"/>
        </w:tc>
        <w:tc>
          <w:tcPr>
            <w:tcW w:w="1656" w:type="dxa"/>
            <w:shd w:val="clear" w:color="auto" w:fill="F7F9FC"/>
            <w:vAlign w:val="center"/>
          </w:tcPr>
          <w:p w14:paraId="0CFE1582" w14:textId="77777777" w:rsidR="00141F59" w:rsidRDefault="00141F59"/>
        </w:tc>
        <w:tc>
          <w:tcPr>
            <w:tcW w:w="2376" w:type="dxa"/>
            <w:shd w:val="clear" w:color="auto" w:fill="F7F9FC"/>
            <w:vAlign w:val="center"/>
          </w:tcPr>
          <w:p w14:paraId="0A8BC13F" w14:textId="77777777" w:rsidR="00141F59" w:rsidRDefault="00141F59"/>
        </w:tc>
      </w:tr>
    </w:tbl>
    <w:p w14:paraId="2E28B04E" w14:textId="77777777" w:rsidR="00141F59" w:rsidRDefault="00141F59">
      <w:pPr>
        <w:spacing w:after="40"/>
      </w:pPr>
    </w:p>
    <w:p w14:paraId="6A0072FB" w14:textId="77777777" w:rsidR="00141F59" w:rsidRDefault="0006039A">
      <w:r>
        <w:t xml:space="preserve">Reviewer: __________________________   Review date: __________________   Follow-up date: </w:t>
      </w:r>
      <w:r>
        <w:t>__________________</w:t>
      </w:r>
    </w:p>
    <w:p w14:paraId="2E47EE70" w14:textId="77777777" w:rsidR="00141F59" w:rsidRDefault="0006039A">
      <w:pPr>
        <w:pStyle w:val="Heading1"/>
      </w:pPr>
      <w:r>
        <w:t>Appendix C. Common Warning Signs and Escalation</w:t>
      </w:r>
    </w:p>
    <w:tbl>
      <w:tblPr>
        <w:tblStyle w:val="TableGrid"/>
        <w:tblW w:w="0" w:type="auto"/>
        <w:jc w:val="center"/>
        <w:tblLook w:val="04A0" w:firstRow="1" w:lastRow="0" w:firstColumn="1" w:lastColumn="0" w:noHBand="0" w:noVBand="1"/>
      </w:tblPr>
      <w:tblGrid>
        <w:gridCol w:w="2016"/>
        <w:gridCol w:w="3168"/>
        <w:gridCol w:w="4032"/>
      </w:tblGrid>
      <w:tr w:rsidR="00141F59" w14:paraId="2AC305A6" w14:textId="77777777">
        <w:trPr>
          <w:jc w:val="center"/>
        </w:trPr>
        <w:tc>
          <w:tcPr>
            <w:tcW w:w="2016" w:type="dxa"/>
            <w:shd w:val="clear" w:color="auto" w:fill="17365D"/>
            <w:vAlign w:val="center"/>
          </w:tcPr>
          <w:p w14:paraId="1892FDB4" w14:textId="77777777" w:rsidR="00141F59" w:rsidRDefault="0006039A">
            <w:r>
              <w:rPr>
                <w:b/>
                <w:color w:val="FFFFFF"/>
                <w:sz w:val="18"/>
              </w:rPr>
              <w:t>Warning sign</w:t>
            </w:r>
          </w:p>
        </w:tc>
        <w:tc>
          <w:tcPr>
            <w:tcW w:w="3168" w:type="dxa"/>
            <w:shd w:val="clear" w:color="auto" w:fill="17365D"/>
            <w:vAlign w:val="center"/>
          </w:tcPr>
          <w:p w14:paraId="5A1BB303" w14:textId="77777777" w:rsidR="00141F59" w:rsidRDefault="0006039A">
            <w:r>
              <w:rPr>
                <w:b/>
                <w:color w:val="FFFFFF"/>
                <w:sz w:val="18"/>
              </w:rPr>
              <w:t>Possible issue</w:t>
            </w:r>
          </w:p>
        </w:tc>
        <w:tc>
          <w:tcPr>
            <w:tcW w:w="4032" w:type="dxa"/>
            <w:shd w:val="clear" w:color="auto" w:fill="17365D"/>
            <w:vAlign w:val="center"/>
          </w:tcPr>
          <w:p w14:paraId="73AF6502" w14:textId="77777777" w:rsidR="00141F59" w:rsidRDefault="0006039A">
            <w:r>
              <w:rPr>
                <w:b/>
                <w:color w:val="FFFFFF"/>
                <w:sz w:val="18"/>
              </w:rPr>
              <w:t>Recommended response</w:t>
            </w:r>
          </w:p>
        </w:tc>
      </w:tr>
      <w:tr w:rsidR="00141F59" w14:paraId="33BFA76A" w14:textId="77777777">
        <w:trPr>
          <w:jc w:val="center"/>
        </w:trPr>
        <w:tc>
          <w:tcPr>
            <w:tcW w:w="2016" w:type="dxa"/>
            <w:vAlign w:val="center"/>
          </w:tcPr>
          <w:p w14:paraId="16BC77F7" w14:textId="77777777" w:rsidR="00141F59" w:rsidRDefault="0006039A">
            <w:r>
              <w:rPr>
                <w:sz w:val="17"/>
              </w:rPr>
              <w:t>Available balance is unexpectedly high</w:t>
            </w:r>
          </w:p>
        </w:tc>
        <w:tc>
          <w:tcPr>
            <w:tcW w:w="3168" w:type="dxa"/>
            <w:vAlign w:val="center"/>
          </w:tcPr>
          <w:p w14:paraId="5752FD38" w14:textId="77777777" w:rsidR="00141F59" w:rsidRDefault="0006039A">
            <w:r>
              <w:rPr>
                <w:sz w:val="17"/>
              </w:rPr>
              <w:t>Future payroll/commitments not reflected; missing encumbrance; budget posted incorrectly.</w:t>
            </w:r>
          </w:p>
        </w:tc>
        <w:tc>
          <w:tcPr>
            <w:tcW w:w="4032" w:type="dxa"/>
            <w:vAlign w:val="center"/>
          </w:tcPr>
          <w:p w14:paraId="25C939EB" w14:textId="77777777" w:rsidR="00141F59" w:rsidRDefault="0006039A">
            <w:r>
              <w:rPr>
                <w:sz w:val="17"/>
              </w:rPr>
              <w:t>Forecast remaining obligations and verify budget/commitments.</w:t>
            </w:r>
          </w:p>
        </w:tc>
      </w:tr>
      <w:tr w:rsidR="00141F59" w14:paraId="562B1633" w14:textId="77777777">
        <w:trPr>
          <w:jc w:val="center"/>
        </w:trPr>
        <w:tc>
          <w:tcPr>
            <w:tcW w:w="2016" w:type="dxa"/>
            <w:shd w:val="clear" w:color="auto" w:fill="F7F9FC"/>
            <w:vAlign w:val="center"/>
          </w:tcPr>
          <w:p w14:paraId="5A866C71" w14:textId="77777777" w:rsidR="00141F59" w:rsidRDefault="0006039A">
            <w:r>
              <w:rPr>
                <w:sz w:val="17"/>
              </w:rPr>
              <w:t>Available balance is unexpectedly low</w:t>
            </w:r>
          </w:p>
        </w:tc>
        <w:tc>
          <w:tcPr>
            <w:tcW w:w="3168" w:type="dxa"/>
            <w:shd w:val="clear" w:color="auto" w:fill="F7F9FC"/>
            <w:vAlign w:val="center"/>
          </w:tcPr>
          <w:p w14:paraId="71FB0A35" w14:textId="77777777" w:rsidR="00141F59" w:rsidRDefault="0006039A">
            <w:r>
              <w:rPr>
                <w:sz w:val="17"/>
              </w:rPr>
              <w:t>Old encumbrance; miscoded charge; overspending.</w:t>
            </w:r>
          </w:p>
        </w:tc>
        <w:tc>
          <w:tcPr>
            <w:tcW w:w="4032" w:type="dxa"/>
            <w:shd w:val="clear" w:color="auto" w:fill="F7F9FC"/>
            <w:vAlign w:val="center"/>
          </w:tcPr>
          <w:p w14:paraId="46C38751" w14:textId="77777777" w:rsidR="00141F59" w:rsidRDefault="0006039A">
            <w:r>
              <w:rPr>
                <w:sz w:val="17"/>
              </w:rPr>
              <w:t>Review transaction and encumbrance detail.</w:t>
            </w:r>
          </w:p>
        </w:tc>
      </w:tr>
      <w:tr w:rsidR="00141F59" w14:paraId="2525E4D9" w14:textId="77777777">
        <w:trPr>
          <w:jc w:val="center"/>
        </w:trPr>
        <w:tc>
          <w:tcPr>
            <w:tcW w:w="2016" w:type="dxa"/>
            <w:vAlign w:val="center"/>
          </w:tcPr>
          <w:p w14:paraId="4DFF9252" w14:textId="77777777" w:rsidR="00141F59" w:rsidRDefault="0006039A">
            <w:r>
              <w:rPr>
                <w:sz w:val="17"/>
              </w:rPr>
              <w:t>Negative available balance</w:t>
            </w:r>
          </w:p>
        </w:tc>
        <w:tc>
          <w:tcPr>
            <w:tcW w:w="3168" w:type="dxa"/>
            <w:vAlign w:val="center"/>
          </w:tcPr>
          <w:p w14:paraId="609D2DED" w14:textId="77777777" w:rsidR="00141F59" w:rsidRDefault="0006039A">
            <w:r>
              <w:rPr>
                <w:sz w:val="17"/>
              </w:rPr>
              <w:t xml:space="preserve">Deficit, timing issue, or </w:t>
            </w:r>
            <w:r>
              <w:rPr>
                <w:sz w:val="17"/>
              </w:rPr>
              <w:t>budget-control exception.</w:t>
            </w:r>
          </w:p>
        </w:tc>
        <w:tc>
          <w:tcPr>
            <w:tcW w:w="4032" w:type="dxa"/>
            <w:vAlign w:val="center"/>
          </w:tcPr>
          <w:p w14:paraId="08F7CAA6" w14:textId="77777777" w:rsidR="00141F59" w:rsidRDefault="0006039A">
            <w:r>
              <w:rPr>
                <w:sz w:val="17"/>
              </w:rPr>
              <w:t>Identify cause immediately and contact Budget/Finance as required.</w:t>
            </w:r>
          </w:p>
        </w:tc>
      </w:tr>
      <w:tr w:rsidR="00141F59" w14:paraId="3D374DBD" w14:textId="77777777">
        <w:trPr>
          <w:jc w:val="center"/>
        </w:trPr>
        <w:tc>
          <w:tcPr>
            <w:tcW w:w="2016" w:type="dxa"/>
            <w:shd w:val="clear" w:color="auto" w:fill="F7F9FC"/>
            <w:vAlign w:val="center"/>
          </w:tcPr>
          <w:p w14:paraId="39C9288E" w14:textId="77777777" w:rsidR="00141F59" w:rsidRDefault="0006039A">
            <w:r>
              <w:rPr>
                <w:sz w:val="17"/>
              </w:rPr>
              <w:t>Unfamiliar transaction</w:t>
            </w:r>
          </w:p>
        </w:tc>
        <w:tc>
          <w:tcPr>
            <w:tcW w:w="3168" w:type="dxa"/>
            <w:shd w:val="clear" w:color="auto" w:fill="F7F9FC"/>
            <w:vAlign w:val="center"/>
          </w:tcPr>
          <w:p w14:paraId="7525B39D" w14:textId="77777777" w:rsidR="00141F59" w:rsidRDefault="0006039A">
            <w:r>
              <w:rPr>
                <w:sz w:val="17"/>
              </w:rPr>
              <w:t>Miscoding, central allocation, journal entry, or unauthorized activity.</w:t>
            </w:r>
          </w:p>
        </w:tc>
        <w:tc>
          <w:tcPr>
            <w:tcW w:w="4032" w:type="dxa"/>
            <w:shd w:val="clear" w:color="auto" w:fill="F7F9FC"/>
            <w:vAlign w:val="center"/>
          </w:tcPr>
          <w:p w14:paraId="42687AAE" w14:textId="77777777" w:rsidR="00141F59" w:rsidRDefault="0006039A">
            <w:r>
              <w:rPr>
                <w:sz w:val="17"/>
              </w:rPr>
              <w:t>Research document; contact originating office if unresolved.</w:t>
            </w:r>
          </w:p>
        </w:tc>
      </w:tr>
      <w:tr w:rsidR="00141F59" w14:paraId="0811E7A3" w14:textId="77777777">
        <w:trPr>
          <w:jc w:val="center"/>
        </w:trPr>
        <w:tc>
          <w:tcPr>
            <w:tcW w:w="2016" w:type="dxa"/>
            <w:vAlign w:val="center"/>
          </w:tcPr>
          <w:p w14:paraId="0DAE0E0D" w14:textId="77777777" w:rsidR="00141F59" w:rsidRDefault="0006039A">
            <w:r>
              <w:rPr>
                <w:sz w:val="17"/>
              </w:rPr>
              <w:t>Revenue below budget</w:t>
            </w:r>
          </w:p>
        </w:tc>
        <w:tc>
          <w:tcPr>
            <w:tcW w:w="3168" w:type="dxa"/>
            <w:vAlign w:val="center"/>
          </w:tcPr>
          <w:p w14:paraId="695DB9A6" w14:textId="77777777" w:rsidR="00141F59" w:rsidRDefault="0006039A">
            <w:r>
              <w:rPr>
                <w:sz w:val="17"/>
              </w:rPr>
              <w:t>Collection shortfall or timing.</w:t>
            </w:r>
          </w:p>
        </w:tc>
        <w:tc>
          <w:tcPr>
            <w:tcW w:w="4032" w:type="dxa"/>
            <w:vAlign w:val="center"/>
          </w:tcPr>
          <w:p w14:paraId="4BA80699" w14:textId="77777777" w:rsidR="00141F59" w:rsidRDefault="0006039A">
            <w:r>
              <w:rPr>
                <w:sz w:val="17"/>
              </w:rPr>
              <w:t>Reforecast spending; communicate material shortfall.</w:t>
            </w:r>
          </w:p>
        </w:tc>
      </w:tr>
      <w:tr w:rsidR="00141F59" w14:paraId="30A153FA" w14:textId="77777777">
        <w:trPr>
          <w:jc w:val="center"/>
        </w:trPr>
        <w:tc>
          <w:tcPr>
            <w:tcW w:w="2016" w:type="dxa"/>
            <w:shd w:val="clear" w:color="auto" w:fill="F7F9FC"/>
            <w:vAlign w:val="center"/>
          </w:tcPr>
          <w:p w14:paraId="31F019B4" w14:textId="77777777" w:rsidR="00141F59" w:rsidRDefault="0006039A">
            <w:r>
              <w:rPr>
                <w:sz w:val="17"/>
              </w:rPr>
              <w:t>Old purchase order remains open</w:t>
            </w:r>
          </w:p>
        </w:tc>
        <w:tc>
          <w:tcPr>
            <w:tcW w:w="3168" w:type="dxa"/>
            <w:shd w:val="clear" w:color="auto" w:fill="F7F9FC"/>
            <w:vAlign w:val="center"/>
          </w:tcPr>
          <w:p w14:paraId="6316DEC9" w14:textId="77777777" w:rsidR="00141F59" w:rsidRDefault="0006039A">
            <w:r>
              <w:rPr>
                <w:sz w:val="17"/>
              </w:rPr>
              <w:t>Incomplete receiving/invoicing or stale commitment.</w:t>
            </w:r>
          </w:p>
        </w:tc>
        <w:tc>
          <w:tcPr>
            <w:tcW w:w="4032" w:type="dxa"/>
            <w:shd w:val="clear" w:color="auto" w:fill="F7F9FC"/>
            <w:vAlign w:val="center"/>
          </w:tcPr>
          <w:p w14:paraId="7F6DC166" w14:textId="77777777" w:rsidR="00141F59" w:rsidRDefault="0006039A">
            <w:r>
              <w:rPr>
                <w:sz w:val="17"/>
              </w:rPr>
              <w:t xml:space="preserve">Confirm status with Purchasing/AP and request appropriate </w:t>
            </w:r>
            <w:r>
              <w:rPr>
                <w:sz w:val="17"/>
              </w:rPr>
              <w:t>action.</w:t>
            </w:r>
          </w:p>
        </w:tc>
      </w:tr>
      <w:tr w:rsidR="00141F59" w14:paraId="0F7C62C0" w14:textId="77777777">
        <w:trPr>
          <w:jc w:val="center"/>
        </w:trPr>
        <w:tc>
          <w:tcPr>
            <w:tcW w:w="2016" w:type="dxa"/>
            <w:vAlign w:val="center"/>
          </w:tcPr>
          <w:p w14:paraId="381F6348" w14:textId="77777777" w:rsidR="00141F59" w:rsidRDefault="0006039A">
            <w:r>
              <w:rPr>
                <w:sz w:val="17"/>
              </w:rPr>
              <w:t>Restricted fund has ample cash/budget</w:t>
            </w:r>
          </w:p>
        </w:tc>
        <w:tc>
          <w:tcPr>
            <w:tcW w:w="3168" w:type="dxa"/>
            <w:vAlign w:val="center"/>
          </w:tcPr>
          <w:p w14:paraId="2730833F" w14:textId="77777777" w:rsidR="00141F59" w:rsidRDefault="0006039A">
            <w:r>
              <w:rPr>
                <w:sz w:val="17"/>
              </w:rPr>
              <w:t>Restriction may still prohibit proposed use.</w:t>
            </w:r>
          </w:p>
        </w:tc>
        <w:tc>
          <w:tcPr>
            <w:tcW w:w="4032" w:type="dxa"/>
            <w:vAlign w:val="center"/>
          </w:tcPr>
          <w:p w14:paraId="0B27C34F" w14:textId="77777777" w:rsidR="00141F59" w:rsidRDefault="0006039A">
            <w:r>
              <w:rPr>
                <w:sz w:val="17"/>
              </w:rPr>
              <w:t>Verify allowability before spending.</w:t>
            </w:r>
          </w:p>
        </w:tc>
      </w:tr>
    </w:tbl>
    <w:p w14:paraId="31E52A4E" w14:textId="77777777" w:rsidR="00141F59" w:rsidRDefault="00141F59">
      <w:pPr>
        <w:spacing w:after="40"/>
      </w:pPr>
    </w:p>
    <w:p w14:paraId="3F94C1E9" w14:textId="77777777" w:rsidR="00141F59" w:rsidRDefault="0006039A">
      <w:pPr>
        <w:pStyle w:val="Heading1"/>
      </w:pPr>
      <w:r>
        <w:t>Source and Update Notes</w:t>
      </w:r>
    </w:p>
    <w:p w14:paraId="48DFDDBD" w14:textId="77777777" w:rsidR="00141F59" w:rsidRDefault="0006039A">
      <w:r>
        <w:t>This guide was prepared using general Banner 9 Finance practices and current public information from the Mississippi Institutions of Higher Learning and Mississippi Department of Finance and Administration as of August 2026. Because Banner configuration and institutional policies vary, the final university edition should be reviewed by the institution's Budget/Accounting, Purchasing, Grants, and other responsible offices before publication.</w:t>
      </w:r>
    </w:p>
    <w:p w14:paraId="4F4A6A2F" w14:textId="77777777" w:rsidR="00141F59" w:rsidRDefault="0006039A">
      <w:r>
        <w:t>Suggested public references: Mississippi Institutions of Higher Learning Policies &amp; Bylaws; Mississippi DFA Procurement Manual; DFA Purchasing, Travel and Fleet Management resources; DFA MAAPP Manual and internal-control resources.</w:t>
      </w:r>
    </w:p>
    <w:sectPr w:rsidR="00141F59" w:rsidSect="00034616">
      <w:headerReference w:type="default" r:id="rId9"/>
      <w:footerReference w:type="default" r:id="rId10"/>
      <w:pgSz w:w="12240" w:h="15840"/>
      <w:pgMar w:top="1008" w:right="1080"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046A" w14:textId="77777777" w:rsidR="0006039A" w:rsidRDefault="0006039A">
      <w:pPr>
        <w:spacing w:after="0" w:line="240" w:lineRule="auto"/>
      </w:pPr>
      <w:r>
        <w:separator/>
      </w:r>
    </w:p>
  </w:endnote>
  <w:endnote w:type="continuationSeparator" w:id="0">
    <w:p w14:paraId="61F0FC79" w14:textId="77777777" w:rsidR="0006039A" w:rsidRDefault="0006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88EC" w14:textId="77777777" w:rsidR="00141F59" w:rsidRDefault="0006039A">
    <w:pPr>
      <w:pStyle w:val="Footer"/>
      <w:jc w:val="center"/>
    </w:pPr>
    <w:r>
      <w:rPr>
        <w:sz w:val="16"/>
      </w:rPr>
      <w:t xml:space="preserve">Mississippi Public University Best-Practice Guide  |  </w:t>
    </w:r>
    <w:r>
      <w:fldChar w:fldCharType="begin"/>
    </w:r>
    <w:r>
      <w:instrText>PAGE</w:instrText>
    </w:r>
    <w:r>
      <w:fldChar w:fldCharType="separate"/>
    </w:r>
    <w:r w:rsidR="00673C0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B7338" w14:textId="77777777" w:rsidR="0006039A" w:rsidRDefault="0006039A">
      <w:pPr>
        <w:spacing w:after="0" w:line="240" w:lineRule="auto"/>
      </w:pPr>
      <w:r>
        <w:separator/>
      </w:r>
    </w:p>
  </w:footnote>
  <w:footnote w:type="continuationSeparator" w:id="0">
    <w:p w14:paraId="62718A91" w14:textId="77777777" w:rsidR="0006039A" w:rsidRDefault="00060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679F" w14:textId="77777777" w:rsidR="00141F59" w:rsidRDefault="0006039A">
    <w:pPr>
      <w:pStyle w:val="Header"/>
      <w:jc w:val="right"/>
    </w:pPr>
    <w:r>
      <w:rPr>
        <w:color w:val="595959"/>
        <w:sz w:val="16"/>
      </w:rPr>
      <w:t>BUDGET MONITORING &amp; MANAGEMENT | BANNER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D949A3A"/>
    <w:lvl w:ilvl="0">
      <w:start w:val="1"/>
      <w:numFmt w:val="bullet"/>
      <w:pStyle w:val="ListBullet"/>
      <w:lvlText w:val=""/>
      <w:lvlJc w:val="left"/>
      <w:pPr>
        <w:tabs>
          <w:tab w:val="num" w:pos="1440"/>
        </w:tabs>
        <w:ind w:left="1440" w:hanging="360"/>
      </w:pPr>
      <w:rPr>
        <w:rFonts w:ascii="Symbol" w:hAnsi="Symbol" w:hint="default"/>
      </w:rPr>
    </w:lvl>
  </w:abstractNum>
  <w:num w:numId="1" w16cid:durableId="796532051">
    <w:abstractNumId w:val="8"/>
  </w:num>
  <w:num w:numId="2" w16cid:durableId="555508412">
    <w:abstractNumId w:val="6"/>
  </w:num>
  <w:num w:numId="3" w16cid:durableId="458033692">
    <w:abstractNumId w:val="5"/>
  </w:num>
  <w:num w:numId="4" w16cid:durableId="89203120">
    <w:abstractNumId w:val="4"/>
  </w:num>
  <w:num w:numId="5" w16cid:durableId="964896410">
    <w:abstractNumId w:val="7"/>
  </w:num>
  <w:num w:numId="6" w16cid:durableId="232548752">
    <w:abstractNumId w:val="3"/>
  </w:num>
  <w:num w:numId="7" w16cid:durableId="1478179490">
    <w:abstractNumId w:val="2"/>
  </w:num>
  <w:num w:numId="8" w16cid:durableId="2102410047">
    <w:abstractNumId w:val="1"/>
  </w:num>
  <w:num w:numId="9" w16cid:durableId="205411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975"/>
    <w:rsid w:val="0006039A"/>
    <w:rsid w:val="0006063C"/>
    <w:rsid w:val="000A7C4A"/>
    <w:rsid w:val="00141F59"/>
    <w:rsid w:val="00144FEB"/>
    <w:rsid w:val="0015074B"/>
    <w:rsid w:val="0029639D"/>
    <w:rsid w:val="00326F90"/>
    <w:rsid w:val="00470D11"/>
    <w:rsid w:val="005A076F"/>
    <w:rsid w:val="00673C0D"/>
    <w:rsid w:val="009668A7"/>
    <w:rsid w:val="00A6611E"/>
    <w:rsid w:val="00AA1D8D"/>
    <w:rsid w:val="00AB580A"/>
    <w:rsid w:val="00B47730"/>
    <w:rsid w:val="00B7729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FBA49B"/>
  <w14:defaultImageDpi w14:val="300"/>
  <w15:docId w15:val="{2871E3CA-6C18-40BC-B1FB-84E412C0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5959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tabs>
        <w:tab w:val="clear" w:pos="1440"/>
        <w:tab w:val="num" w:pos="360"/>
      </w:tabs>
      <w:ind w:left="36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9098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3521</Words>
  <Characters>20075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Budget Monitoring &amp; Management: Best Practices for Mississippi Public Universities Using Banner 9</vt:lpstr>
    </vt:vector>
  </TitlesOfParts>
  <Manager/>
  <Company/>
  <LinksUpToDate>false</LinksUpToDate>
  <CharactersWithSpaces>23549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Monitoring &amp; Management: Best Practices for Mississippi Public Universities Using Banner 9</dc:title>
  <dc:subject>Budget monitoring, Banner 9 Finance, Mississippi public universities</dc:subject>
  <dc:creator>OpenAI</dc:creator>
  <cp:keywords/>
  <dc:description>generated by python-docx</dc:description>
  <cp:lastModifiedBy>Susan Sobley</cp:lastModifiedBy>
  <cp:revision>2</cp:revision>
  <cp:lastPrinted>2026-08-11T15:41:00Z</cp:lastPrinted>
  <dcterms:created xsi:type="dcterms:W3CDTF">2026-08-11T16:07:00Z</dcterms:created>
  <dcterms:modified xsi:type="dcterms:W3CDTF">2026-08-11T16:07:00Z</dcterms:modified>
  <cp:category/>
</cp:coreProperties>
</file>